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1548B1" w14:textId="77777777" w:rsidR="00CC593B" w:rsidRDefault="00CC593B">
      <w:pPr>
        <w:rPr>
          <w:rFonts w:ascii="Stone Sans II ITC Com Bk" w:hAnsi="Stone Sans II ITC Com Bk"/>
          <w:sz w:val="32"/>
          <w:szCs w:val="32"/>
        </w:rPr>
      </w:pPr>
    </w:p>
    <w:p w14:paraId="48F07892" w14:textId="62A5F0D7" w:rsidR="006A7D65" w:rsidRPr="004D0869" w:rsidRDefault="004D0869">
      <w:pPr>
        <w:rPr>
          <w:rFonts w:ascii="Stone Sans II ITC Com Bk" w:hAnsi="Stone Sans II ITC Com Bk"/>
          <w:sz w:val="32"/>
          <w:szCs w:val="32"/>
        </w:rPr>
      </w:pPr>
      <w:r w:rsidRPr="004D0869">
        <w:rPr>
          <w:rFonts w:ascii="Stone Sans II ITC Com Bk" w:hAnsi="Stone Sans II ITC Com Bk"/>
          <w:sz w:val="32"/>
          <w:szCs w:val="32"/>
        </w:rPr>
        <w:t>Pressemitteilung</w:t>
      </w:r>
    </w:p>
    <w:p w14:paraId="35E05FE6" w14:textId="77777777" w:rsidR="004D0869" w:rsidRDefault="004D0869">
      <w:pPr>
        <w:rPr>
          <w:rFonts w:ascii="Stone Sans II ITC Com Bk" w:hAnsi="Stone Sans II ITC Com Bk"/>
        </w:rPr>
      </w:pPr>
    </w:p>
    <w:p w14:paraId="5224E074" w14:textId="49B9CD3A" w:rsidR="004D0869" w:rsidRDefault="00C42386" w:rsidP="004D0869">
      <w:pPr>
        <w:jc w:val="right"/>
        <w:rPr>
          <w:rFonts w:ascii="Stone Sans II ITC Com Bk" w:hAnsi="Stone Sans II ITC Com Bk"/>
        </w:rPr>
      </w:pPr>
      <w:r>
        <w:rPr>
          <w:rFonts w:ascii="Stone Sans II ITC Com Bk" w:hAnsi="Stone Sans II ITC Com Bk"/>
        </w:rPr>
        <w:t>Aarbergen, 06.01.2025</w:t>
      </w:r>
    </w:p>
    <w:p w14:paraId="1B99474F" w14:textId="77777777" w:rsidR="005F503C" w:rsidRDefault="005F503C" w:rsidP="001360B7">
      <w:pPr>
        <w:rPr>
          <w:rFonts w:ascii="Stone Sans II ITC Com Bk" w:hAnsi="Stone Sans II ITC Com Bk"/>
          <w:b/>
          <w:bCs/>
        </w:rPr>
      </w:pPr>
    </w:p>
    <w:p w14:paraId="0A7AE5AA" w14:textId="3B8E7DBD" w:rsidR="001360B7" w:rsidRPr="00C42386" w:rsidRDefault="00D8009D" w:rsidP="001360B7">
      <w:pPr>
        <w:rPr>
          <w:rFonts w:ascii="Stone Sans II ITC Com Bk" w:hAnsi="Stone Sans II ITC Com Bk"/>
          <w:b/>
          <w:bCs/>
        </w:rPr>
      </w:pPr>
      <w:r>
        <w:rPr>
          <w:rFonts w:ascii="Stone Sans II ITC Com Bk" w:hAnsi="Stone Sans II ITC Com Bk"/>
          <w:b/>
          <w:bCs/>
        </w:rPr>
        <w:t>Gebündelte</w:t>
      </w:r>
      <w:r w:rsidR="001360B7" w:rsidRPr="00C42386">
        <w:rPr>
          <w:rFonts w:ascii="Stone Sans II ITC Com Bk" w:hAnsi="Stone Sans II ITC Com Bk"/>
          <w:b/>
          <w:bCs/>
        </w:rPr>
        <w:t xml:space="preserve"> Kompetenz: Kanalguss-Bereich der ACO GmbH und</w:t>
      </w:r>
      <w:r w:rsidR="00713804">
        <w:rPr>
          <w:rFonts w:ascii="Stone Sans II ITC Com Bk" w:hAnsi="Stone Sans II ITC Com Bk"/>
          <w:b/>
          <w:bCs/>
        </w:rPr>
        <w:t xml:space="preserve"> die</w:t>
      </w:r>
      <w:r w:rsidR="001360B7" w:rsidRPr="00C42386">
        <w:rPr>
          <w:rFonts w:ascii="Stone Sans II ITC Com Bk" w:hAnsi="Stone Sans II ITC Com Bk"/>
          <w:b/>
          <w:bCs/>
        </w:rPr>
        <w:t xml:space="preserve"> </w:t>
      </w:r>
      <w:proofErr w:type="spellStart"/>
      <w:r w:rsidR="001360B7" w:rsidRPr="00C42386">
        <w:rPr>
          <w:rFonts w:ascii="Stone Sans II ITC Com Bk" w:hAnsi="Stone Sans II ITC Com Bk"/>
          <w:b/>
          <w:bCs/>
        </w:rPr>
        <w:t>Aguss</w:t>
      </w:r>
      <w:proofErr w:type="spellEnd"/>
      <w:r w:rsidR="001360B7" w:rsidRPr="00C42386">
        <w:rPr>
          <w:rFonts w:ascii="Stone Sans II ITC Com Bk" w:hAnsi="Stone Sans II ITC Com Bk"/>
          <w:b/>
          <w:bCs/>
        </w:rPr>
        <w:t xml:space="preserve"> Vertrieb GmbH bei ACO Passavant </w:t>
      </w:r>
      <w:proofErr w:type="spellStart"/>
      <w:r w:rsidR="001360B7" w:rsidRPr="00C42386">
        <w:rPr>
          <w:rFonts w:ascii="Stone Sans II ITC Com Bk" w:hAnsi="Stone Sans II ITC Com Bk"/>
          <w:b/>
          <w:bCs/>
        </w:rPr>
        <w:t>Detego</w:t>
      </w:r>
      <w:proofErr w:type="spellEnd"/>
      <w:r w:rsidR="001360B7" w:rsidRPr="00C42386">
        <w:rPr>
          <w:rFonts w:ascii="Stone Sans II ITC Com Bk" w:hAnsi="Stone Sans II ITC Com Bk"/>
          <w:b/>
          <w:bCs/>
        </w:rPr>
        <w:t xml:space="preserve"> integriert</w:t>
      </w:r>
    </w:p>
    <w:p w14:paraId="27C95C96" w14:textId="77777777" w:rsidR="001360B7" w:rsidRPr="001360B7" w:rsidRDefault="001360B7" w:rsidP="001360B7">
      <w:pPr>
        <w:rPr>
          <w:rFonts w:ascii="Stone Sans II ITC Com Bk" w:hAnsi="Stone Sans II ITC Com Bk"/>
        </w:rPr>
      </w:pPr>
    </w:p>
    <w:p w14:paraId="72F1B850" w14:textId="59A1A800" w:rsidR="001360B7" w:rsidRPr="001360B7" w:rsidRDefault="00AA5AE0" w:rsidP="001360B7">
      <w:pPr>
        <w:rPr>
          <w:rFonts w:ascii="Stone Sans II ITC Com Bk" w:hAnsi="Stone Sans II ITC Com Bk"/>
        </w:rPr>
      </w:pPr>
      <w:r>
        <w:rPr>
          <w:rFonts w:ascii="Stone Sans II ITC Com Bk" w:hAnsi="Stone Sans II ITC Com Bk"/>
        </w:rPr>
        <w:t xml:space="preserve">Seit dem 01.01.2025 </w:t>
      </w:r>
      <w:r w:rsidR="00EC38C7">
        <w:rPr>
          <w:rFonts w:ascii="Stone Sans II ITC Com Bk" w:hAnsi="Stone Sans II ITC Com Bk"/>
        </w:rPr>
        <w:t>ist</w:t>
      </w:r>
      <w:r>
        <w:rPr>
          <w:rFonts w:ascii="Stone Sans II ITC Com Bk" w:hAnsi="Stone Sans II ITC Com Bk"/>
        </w:rPr>
        <w:t xml:space="preserve"> </w:t>
      </w:r>
      <w:r w:rsidR="001360B7" w:rsidRPr="001360B7">
        <w:rPr>
          <w:rFonts w:ascii="Stone Sans II ITC Com Bk" w:hAnsi="Stone Sans II ITC Com Bk"/>
        </w:rPr>
        <w:t xml:space="preserve">der Kanalguss-Bereich der ACO GmbH und die </w:t>
      </w:r>
      <w:proofErr w:type="spellStart"/>
      <w:r w:rsidR="001360B7" w:rsidRPr="001360B7">
        <w:rPr>
          <w:rFonts w:ascii="Stone Sans II ITC Com Bk" w:hAnsi="Stone Sans II ITC Com Bk"/>
        </w:rPr>
        <w:t>Aguss</w:t>
      </w:r>
      <w:proofErr w:type="spellEnd"/>
      <w:r w:rsidR="001360B7" w:rsidRPr="001360B7">
        <w:rPr>
          <w:rFonts w:ascii="Stone Sans II ITC Com Bk" w:hAnsi="Stone Sans II ITC Com Bk"/>
        </w:rPr>
        <w:t xml:space="preserve"> Vertrieb GmbH unter dem Dach der ACO Passavant </w:t>
      </w:r>
      <w:proofErr w:type="spellStart"/>
      <w:r w:rsidR="001360B7" w:rsidRPr="001360B7">
        <w:rPr>
          <w:rFonts w:ascii="Stone Sans II ITC Com Bk" w:hAnsi="Stone Sans II ITC Com Bk"/>
        </w:rPr>
        <w:t>Detego</w:t>
      </w:r>
      <w:proofErr w:type="spellEnd"/>
      <w:r w:rsidR="001360B7" w:rsidRPr="001360B7">
        <w:rPr>
          <w:rFonts w:ascii="Stone Sans II ITC Com Bk" w:hAnsi="Stone Sans II ITC Com Bk"/>
        </w:rPr>
        <w:t xml:space="preserve"> </w:t>
      </w:r>
      <w:r w:rsidR="00253268">
        <w:rPr>
          <w:rFonts w:ascii="Stone Sans II ITC Com Bk" w:hAnsi="Stone Sans II ITC Com Bk"/>
        </w:rPr>
        <w:t>zusammengeführt</w:t>
      </w:r>
      <w:r w:rsidR="001360B7" w:rsidRPr="001360B7">
        <w:rPr>
          <w:rFonts w:ascii="Stone Sans II ITC Com Bk" w:hAnsi="Stone Sans II ITC Com Bk"/>
        </w:rPr>
        <w:t xml:space="preserve">. Diese strategische Entscheidung stärkt die Position von ACO Passavant </w:t>
      </w:r>
      <w:proofErr w:type="spellStart"/>
      <w:r w:rsidR="001360B7" w:rsidRPr="001360B7">
        <w:rPr>
          <w:rFonts w:ascii="Stone Sans II ITC Com Bk" w:hAnsi="Stone Sans II ITC Com Bk"/>
        </w:rPr>
        <w:t>Detego</w:t>
      </w:r>
      <w:proofErr w:type="spellEnd"/>
      <w:r w:rsidR="001360B7" w:rsidRPr="001360B7">
        <w:rPr>
          <w:rFonts w:ascii="Stone Sans II ITC Com Bk" w:hAnsi="Stone Sans II ITC Com Bk"/>
        </w:rPr>
        <w:t xml:space="preserve"> als führender Spezialist für Schachtabdeckungen, technische Abdeckungen sowie Straßen- und Brückenabläufe.</w:t>
      </w:r>
    </w:p>
    <w:p w14:paraId="21A00E63" w14:textId="77777777" w:rsidR="001360B7" w:rsidRPr="001360B7" w:rsidRDefault="001360B7" w:rsidP="001360B7">
      <w:pPr>
        <w:rPr>
          <w:rFonts w:ascii="Stone Sans II ITC Com Bk" w:hAnsi="Stone Sans II ITC Com Bk"/>
        </w:rPr>
      </w:pPr>
      <w:r w:rsidRPr="001360B7">
        <w:rPr>
          <w:rFonts w:ascii="Stone Sans II ITC Com Bk" w:hAnsi="Stone Sans II ITC Com Bk"/>
        </w:rPr>
        <w:t xml:space="preserve">ACO Passavant </w:t>
      </w:r>
      <w:proofErr w:type="spellStart"/>
      <w:r w:rsidRPr="001360B7">
        <w:rPr>
          <w:rFonts w:ascii="Stone Sans II ITC Com Bk" w:hAnsi="Stone Sans II ITC Com Bk"/>
        </w:rPr>
        <w:t>Detego</w:t>
      </w:r>
      <w:proofErr w:type="spellEnd"/>
      <w:r w:rsidRPr="001360B7">
        <w:rPr>
          <w:rFonts w:ascii="Stone Sans II ITC Com Bk" w:hAnsi="Stone Sans II ITC Com Bk"/>
        </w:rPr>
        <w:t xml:space="preserve">, mit Produktionsstandorten in Aarbergen und Mülheim-Kärlich, blickt auf eine lange Tradition zurück. Bereits seit dem 19. Jahrhundert werden in der Michelbacher Hütte in Aarbergen unter der Marke Passavant Gussprodukte für die Entwässerung von Straßen und Gebäuden gefertigt. Diese historische Expertise wird nun durch die Integration der Kompetenzen und Produkte aus dem Kanalguss-Bereich der ACO GmbH und der </w:t>
      </w:r>
      <w:proofErr w:type="spellStart"/>
      <w:r w:rsidRPr="001360B7">
        <w:rPr>
          <w:rFonts w:ascii="Stone Sans II ITC Com Bk" w:hAnsi="Stone Sans II ITC Com Bk"/>
        </w:rPr>
        <w:t>Aguss</w:t>
      </w:r>
      <w:proofErr w:type="spellEnd"/>
      <w:r w:rsidRPr="001360B7">
        <w:rPr>
          <w:rFonts w:ascii="Stone Sans II ITC Com Bk" w:hAnsi="Stone Sans II ITC Com Bk"/>
        </w:rPr>
        <w:t xml:space="preserve"> Vertrieb GmbH weiter gestärkt.</w:t>
      </w:r>
    </w:p>
    <w:p w14:paraId="1240EC81" w14:textId="7EDC02D6" w:rsidR="001360B7" w:rsidRPr="001360B7" w:rsidRDefault="001360B7" w:rsidP="001360B7">
      <w:pPr>
        <w:rPr>
          <w:rFonts w:ascii="Stone Sans II ITC Com Bk" w:hAnsi="Stone Sans II ITC Com Bk"/>
        </w:rPr>
      </w:pPr>
      <w:r w:rsidRPr="001360B7">
        <w:rPr>
          <w:rFonts w:ascii="Stone Sans II ITC Com Bk" w:hAnsi="Stone Sans II ITC Com Bk"/>
        </w:rPr>
        <w:t xml:space="preserve">„Mit dieser Bündelung der Kompetenzen setzen wir ein klares Zeichen für unsere Innovationskraft und unseren technischen Vorsprung“, erklärt </w:t>
      </w:r>
      <w:r w:rsidR="005F503C">
        <w:rPr>
          <w:rFonts w:ascii="Stone Sans II ITC Com Bk" w:hAnsi="Stone Sans II ITC Com Bk"/>
        </w:rPr>
        <w:t>Stefan Löbeth</w:t>
      </w:r>
      <w:r w:rsidRPr="001360B7">
        <w:rPr>
          <w:rFonts w:ascii="Stone Sans II ITC Com Bk" w:hAnsi="Stone Sans II ITC Com Bk"/>
        </w:rPr>
        <w:t xml:space="preserve">, Geschäftsführer der ACO Passavant </w:t>
      </w:r>
      <w:proofErr w:type="spellStart"/>
      <w:r w:rsidRPr="001360B7">
        <w:rPr>
          <w:rFonts w:ascii="Stone Sans II ITC Com Bk" w:hAnsi="Stone Sans II ITC Com Bk"/>
        </w:rPr>
        <w:t>Detego</w:t>
      </w:r>
      <w:proofErr w:type="spellEnd"/>
      <w:r w:rsidRPr="001360B7">
        <w:rPr>
          <w:rFonts w:ascii="Stone Sans II ITC Com Bk" w:hAnsi="Stone Sans II ITC Com Bk"/>
        </w:rPr>
        <w:t xml:space="preserve">. „Unsere qualitativ hochwertigen Lösungen, insbesondere in den Bereichen </w:t>
      </w:r>
      <w:r w:rsidR="00866E01">
        <w:rPr>
          <w:rFonts w:ascii="Stone Sans II ITC Com Bk" w:hAnsi="Stone Sans II ITC Com Bk"/>
        </w:rPr>
        <w:t>öffentliche Verkehrsflächen, Netzwerk</w:t>
      </w:r>
      <w:r w:rsidR="000A6C2C">
        <w:rPr>
          <w:rFonts w:ascii="Stone Sans II ITC Com Bk" w:hAnsi="Stone Sans II ITC Com Bk"/>
        </w:rPr>
        <w:t>infrastruktur</w:t>
      </w:r>
      <w:r w:rsidR="00BE146D">
        <w:rPr>
          <w:rFonts w:ascii="Stone Sans II ITC Com Bk" w:hAnsi="Stone Sans II ITC Com Bk"/>
        </w:rPr>
        <w:t xml:space="preserve">, </w:t>
      </w:r>
      <w:r w:rsidR="000A6C2C">
        <w:rPr>
          <w:rFonts w:ascii="Stone Sans II ITC Com Bk" w:hAnsi="Stone Sans II ITC Com Bk"/>
        </w:rPr>
        <w:t>auf Schwerlastflächen</w:t>
      </w:r>
      <w:r w:rsidR="00F0621B">
        <w:rPr>
          <w:rFonts w:ascii="Stone Sans II ITC Com Bk" w:hAnsi="Stone Sans II ITC Com Bk"/>
        </w:rPr>
        <w:t xml:space="preserve">, </w:t>
      </w:r>
      <w:r w:rsidR="00F0621B" w:rsidRPr="00F0621B">
        <w:rPr>
          <w:rFonts w:ascii="Stone Sans II ITC Com Bk" w:hAnsi="Stone Sans II ITC Com Bk"/>
        </w:rPr>
        <w:t>sowie bei Abdeckungen mit Antriebs- und Steuerungstechnik</w:t>
      </w:r>
      <w:r w:rsidRPr="001360B7">
        <w:rPr>
          <w:rFonts w:ascii="Stone Sans II ITC Com Bk" w:hAnsi="Stone Sans II ITC Com Bk"/>
        </w:rPr>
        <w:t>, setzen neue Maßstäbe in Funktionalität und Belastbarkeit.“</w:t>
      </w:r>
    </w:p>
    <w:p w14:paraId="0ED16764" w14:textId="77777777" w:rsidR="001360B7" w:rsidRPr="001360B7" w:rsidRDefault="001360B7" w:rsidP="001360B7">
      <w:pPr>
        <w:rPr>
          <w:rFonts w:ascii="Stone Sans II ITC Com Bk" w:hAnsi="Stone Sans II ITC Com Bk"/>
        </w:rPr>
      </w:pPr>
      <w:r w:rsidRPr="001360B7">
        <w:rPr>
          <w:rFonts w:ascii="Stone Sans II ITC Com Bk" w:hAnsi="Stone Sans II ITC Com Bk"/>
        </w:rPr>
        <w:t xml:space="preserve">Das erweiterte Portfolio von ACO Passavant </w:t>
      </w:r>
      <w:proofErr w:type="spellStart"/>
      <w:r w:rsidRPr="001360B7">
        <w:rPr>
          <w:rFonts w:ascii="Stone Sans II ITC Com Bk" w:hAnsi="Stone Sans II ITC Com Bk"/>
        </w:rPr>
        <w:t>Detego</w:t>
      </w:r>
      <w:proofErr w:type="spellEnd"/>
      <w:r w:rsidRPr="001360B7">
        <w:rPr>
          <w:rFonts w:ascii="Stone Sans II ITC Com Bk" w:hAnsi="Stone Sans II ITC Com Bk"/>
        </w:rPr>
        <w:t xml:space="preserve"> umfasst ein umfangreiches Sortiment an Standardprodukten sowie maßgeschneiderte Sonderlösungen, die spezifisch auf die Anforderungen der Kunden zugeschnitten sind. Ein besonderes Alleinstellungsmerkmal ist der ästhetische Anspruch der Produkte, die sich harmonisch in die jeweilige Architektur einfügen und so dezent und unsichtbar wie möglich gestaltet werden.</w:t>
      </w:r>
    </w:p>
    <w:p w14:paraId="272A25AC" w14:textId="5F4522FF" w:rsidR="001360B7" w:rsidRPr="001360B7" w:rsidRDefault="001360B7" w:rsidP="001360B7">
      <w:pPr>
        <w:rPr>
          <w:rFonts w:ascii="Stone Sans II ITC Com Bk" w:hAnsi="Stone Sans II ITC Com Bk"/>
        </w:rPr>
      </w:pPr>
      <w:r w:rsidRPr="001360B7">
        <w:rPr>
          <w:rFonts w:ascii="Stone Sans II ITC Com Bk" w:hAnsi="Stone Sans II ITC Com Bk"/>
        </w:rPr>
        <w:t xml:space="preserve">ACO Passavant </w:t>
      </w:r>
      <w:proofErr w:type="spellStart"/>
      <w:r w:rsidRPr="001360B7">
        <w:rPr>
          <w:rFonts w:ascii="Stone Sans II ITC Com Bk" w:hAnsi="Stone Sans II ITC Com Bk"/>
        </w:rPr>
        <w:t>Detego</w:t>
      </w:r>
      <w:proofErr w:type="spellEnd"/>
      <w:r w:rsidRPr="001360B7">
        <w:rPr>
          <w:rFonts w:ascii="Stone Sans II ITC Com Bk" w:hAnsi="Stone Sans II ITC Com Bk"/>
        </w:rPr>
        <w:t xml:space="preserve"> bietet weit mehr als nur Produkte: Als Systemanbieter stellt das Unternehmen einen umfassenden Full Service bereit – von der Produktentwicklung und dem Einbau bis hin zur Wartung und schnellen Instandsetzung. „Unser Ziel ist es, unseren Kunden ganzheitliche Lösungen für jede Herausforderung zu bieten“, betont </w:t>
      </w:r>
      <w:r w:rsidR="005F503C">
        <w:rPr>
          <w:rFonts w:ascii="Stone Sans II ITC Com Bk" w:hAnsi="Stone Sans II ITC Com Bk"/>
        </w:rPr>
        <w:t>Stefan Löbeth.</w:t>
      </w:r>
    </w:p>
    <w:p w14:paraId="16F3EC3D" w14:textId="77777777" w:rsidR="001360B7" w:rsidRPr="001360B7" w:rsidRDefault="001360B7" w:rsidP="001360B7">
      <w:pPr>
        <w:rPr>
          <w:rFonts w:ascii="Stone Sans II ITC Com Bk" w:hAnsi="Stone Sans II ITC Com Bk"/>
        </w:rPr>
      </w:pPr>
    </w:p>
    <w:p w14:paraId="7A7B3E7F" w14:textId="77777777" w:rsidR="004827D6" w:rsidRDefault="004827D6" w:rsidP="001360B7">
      <w:pPr>
        <w:rPr>
          <w:rFonts w:ascii="Stone Sans II ITC Com Bk" w:hAnsi="Stone Sans II ITC Com Bk"/>
        </w:rPr>
      </w:pPr>
    </w:p>
    <w:p w14:paraId="39B5BDCF" w14:textId="77777777" w:rsidR="004827D6" w:rsidRDefault="004827D6" w:rsidP="001360B7">
      <w:pPr>
        <w:rPr>
          <w:rFonts w:ascii="Stone Sans II ITC Com Bk" w:hAnsi="Stone Sans II ITC Com Bk"/>
        </w:rPr>
      </w:pPr>
      <w:r>
        <w:rPr>
          <w:rFonts w:ascii="Stone Sans II ITC Com Bk" w:hAnsi="Stone Sans II ITC Com Bk"/>
        </w:rPr>
        <w:br/>
      </w:r>
    </w:p>
    <w:p w14:paraId="05CDD115" w14:textId="21B862DF" w:rsidR="004D0869" w:rsidRDefault="001360B7" w:rsidP="001360B7">
      <w:pPr>
        <w:rPr>
          <w:rFonts w:ascii="Stone Sans II ITC Com Bk" w:hAnsi="Stone Sans II ITC Com Bk"/>
        </w:rPr>
      </w:pPr>
      <w:r w:rsidRPr="001360B7">
        <w:rPr>
          <w:rFonts w:ascii="Stone Sans II ITC Com Bk" w:hAnsi="Stone Sans II ITC Com Bk"/>
        </w:rPr>
        <w:t>Mit der Integration der neuen Bereiche und Produkte unterstreicht d</w:t>
      </w:r>
      <w:r w:rsidR="007E298A">
        <w:rPr>
          <w:rFonts w:ascii="Stone Sans II ITC Com Bk" w:hAnsi="Stone Sans II ITC Com Bk"/>
        </w:rPr>
        <w:t xml:space="preserve">as Unternehmen </w:t>
      </w:r>
      <w:r w:rsidRPr="001360B7">
        <w:rPr>
          <w:rFonts w:ascii="Stone Sans II ITC Com Bk" w:hAnsi="Stone Sans II ITC Com Bk"/>
        </w:rPr>
        <w:t>ihre Position als Marktführer und zuverlässiger Partner für anspruchsvolle Anwendungen in Schwerlastflächen, Notausstiege, Dichtflächen sowie für Telekommunikationsanlagen und viele weitere Einsatzbereiche.</w:t>
      </w:r>
    </w:p>
    <w:p w14:paraId="1798CD30" w14:textId="2DAB41CF" w:rsidR="001360B7" w:rsidRDefault="002D14E4" w:rsidP="00DA469A">
      <w:pPr>
        <w:rPr>
          <w:rFonts w:ascii="Stone Sans II ITC Com Bk" w:hAnsi="Stone Sans II ITC Com Bk"/>
        </w:rPr>
      </w:pPr>
      <w:hyperlink r:id="rId7" w:history="1">
        <w:r w:rsidRPr="00AA491B">
          <w:rPr>
            <w:rStyle w:val="Hyperlink"/>
            <w:rFonts w:ascii="Stone Sans II ITC Com Bk" w:hAnsi="Stone Sans II ITC Com Bk"/>
          </w:rPr>
          <w:t>www.aco-detego.de</w:t>
        </w:r>
      </w:hyperlink>
      <w:r>
        <w:rPr>
          <w:rFonts w:ascii="Stone Sans II ITC Com Bk" w:hAnsi="Stone Sans II ITC Com Bk"/>
        </w:rPr>
        <w:t xml:space="preserve"> </w:t>
      </w:r>
    </w:p>
    <w:p w14:paraId="7AF97C2F" w14:textId="77777777" w:rsidR="009F6218" w:rsidRDefault="009F6218" w:rsidP="00DA469A">
      <w:pPr>
        <w:rPr>
          <w:rFonts w:ascii="Stone Sans II ITC Com Bk" w:hAnsi="Stone Sans II ITC Com Bk"/>
        </w:rPr>
      </w:pPr>
    </w:p>
    <w:p w14:paraId="2CE01702" w14:textId="6E14AE66" w:rsidR="009F6218" w:rsidRDefault="009F6218" w:rsidP="00DA469A">
      <w:pPr>
        <w:rPr>
          <w:rFonts w:ascii="Stone Sans II ITC Com Bk" w:hAnsi="Stone Sans II ITC Com Bk"/>
        </w:rPr>
      </w:pPr>
      <w:r>
        <w:rPr>
          <w:rFonts w:ascii="Stone Sans II ITC Com Bk" w:hAnsi="Stone Sans II ITC Com Bk"/>
        </w:rPr>
        <w:t>ca. 2.418 Zeichen</w:t>
      </w:r>
    </w:p>
    <w:p w14:paraId="4CDD49EC" w14:textId="77777777" w:rsidR="004D0869" w:rsidRDefault="004D0869" w:rsidP="004D0869">
      <w:pPr>
        <w:rPr>
          <w:rFonts w:ascii="Stone Sans II ITC Com Bk" w:hAnsi="Stone Sans II ITC Com Bk"/>
        </w:rPr>
      </w:pPr>
    </w:p>
    <w:tbl>
      <w:tblPr>
        <w:tblStyle w:val="Tabellenraster"/>
        <w:tblW w:w="0" w:type="auto"/>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none" w:sz="0" w:space="0" w:color="auto"/>
          <w:insideV w:val="none" w:sz="0" w:space="0" w:color="auto"/>
        </w:tblBorders>
        <w:tblLook w:val="04A0" w:firstRow="1" w:lastRow="0" w:firstColumn="1" w:lastColumn="0" w:noHBand="0" w:noVBand="1"/>
      </w:tblPr>
      <w:tblGrid>
        <w:gridCol w:w="9062"/>
      </w:tblGrid>
      <w:tr w:rsidR="004D0869" w14:paraId="47BB0447" w14:textId="77777777" w:rsidTr="004D0869">
        <w:tc>
          <w:tcPr>
            <w:tcW w:w="9062" w:type="dxa"/>
          </w:tcPr>
          <w:p w14:paraId="65534CED" w14:textId="21DB4245" w:rsidR="004D0869" w:rsidRPr="004D0869" w:rsidRDefault="004D0869" w:rsidP="00D5562B">
            <w:pPr>
              <w:rPr>
                <w:rFonts w:ascii="Stone Sans II ITC Com Lt" w:hAnsi="Stone Sans II ITC Com Lt"/>
                <w:iCs/>
                <w:sz w:val="20"/>
                <w:szCs w:val="20"/>
              </w:rPr>
            </w:pPr>
            <w:r w:rsidRPr="00BD54FA">
              <w:rPr>
                <w:rFonts w:ascii="Stone Sans II ITC Com Lt" w:hAnsi="Stone Sans II ITC Com Lt"/>
                <w:b/>
                <w:bCs/>
                <w:iCs/>
                <w:sz w:val="20"/>
                <w:szCs w:val="20"/>
              </w:rPr>
              <w:t xml:space="preserve">Die ACO </w:t>
            </w:r>
            <w:r w:rsidR="005F0A62">
              <w:rPr>
                <w:rFonts w:ascii="Stone Sans II ITC Com Lt" w:hAnsi="Stone Sans II ITC Com Lt"/>
                <w:b/>
                <w:bCs/>
                <w:iCs/>
                <w:sz w:val="20"/>
                <w:szCs w:val="20"/>
              </w:rPr>
              <w:t xml:space="preserve">Passavant </w:t>
            </w:r>
            <w:proofErr w:type="spellStart"/>
            <w:r w:rsidR="005F0A62">
              <w:rPr>
                <w:rFonts w:ascii="Stone Sans II ITC Com Lt" w:hAnsi="Stone Sans II ITC Com Lt"/>
                <w:b/>
                <w:bCs/>
                <w:iCs/>
                <w:sz w:val="20"/>
                <w:szCs w:val="20"/>
              </w:rPr>
              <w:t>Detego</w:t>
            </w:r>
            <w:proofErr w:type="spellEnd"/>
            <w:r w:rsidR="005F0A62">
              <w:rPr>
                <w:rFonts w:ascii="Stone Sans II ITC Com Lt" w:hAnsi="Stone Sans II ITC Com Lt"/>
                <w:b/>
                <w:bCs/>
                <w:iCs/>
                <w:sz w:val="20"/>
                <w:szCs w:val="20"/>
              </w:rPr>
              <w:t xml:space="preserve"> </w:t>
            </w:r>
            <w:r w:rsidRPr="00BD54FA">
              <w:rPr>
                <w:rFonts w:ascii="Stone Sans II ITC Com Lt" w:hAnsi="Stone Sans II ITC Com Lt"/>
                <w:b/>
                <w:bCs/>
                <w:iCs/>
                <w:sz w:val="20"/>
                <w:szCs w:val="20"/>
              </w:rPr>
              <w:t>GmbH</w:t>
            </w:r>
            <w:r>
              <w:rPr>
                <w:rFonts w:ascii="Stone Sans II ITC Com Lt" w:hAnsi="Stone Sans II ITC Com Lt"/>
                <w:iCs/>
                <w:sz w:val="20"/>
                <w:szCs w:val="20"/>
              </w:rPr>
              <w:br/>
            </w:r>
            <w:r w:rsidR="00A470A6" w:rsidRPr="00A470A6">
              <w:rPr>
                <w:rFonts w:ascii="Stone Sans II ITC Com Lt" w:hAnsi="Stone Sans II ITC Com Lt"/>
                <w:iCs/>
                <w:sz w:val="20"/>
                <w:szCs w:val="20"/>
              </w:rPr>
              <w:t xml:space="preserve">ACO Passavant </w:t>
            </w:r>
            <w:proofErr w:type="spellStart"/>
            <w:r w:rsidR="00A470A6" w:rsidRPr="00A470A6">
              <w:rPr>
                <w:rFonts w:ascii="Stone Sans II ITC Com Lt" w:hAnsi="Stone Sans II ITC Com Lt"/>
                <w:iCs/>
                <w:sz w:val="20"/>
                <w:szCs w:val="20"/>
              </w:rPr>
              <w:t>Detego</w:t>
            </w:r>
            <w:proofErr w:type="spellEnd"/>
            <w:r w:rsidR="00A470A6" w:rsidRPr="00A470A6">
              <w:rPr>
                <w:rFonts w:ascii="Stone Sans II ITC Com Lt" w:hAnsi="Stone Sans II ITC Com Lt"/>
                <w:iCs/>
                <w:sz w:val="20"/>
                <w:szCs w:val="20"/>
              </w:rPr>
              <w:t xml:space="preserve">, ein Spezialist innerhalb der ACO Gruppe, bietet innovative Lösungen für Schachtabdeckungen, technische Abdeckungen sowie Straßen- und Brückenabläufe. </w:t>
            </w:r>
            <w:r w:rsidR="00FE0F65">
              <w:rPr>
                <w:rFonts w:ascii="Stone Sans II ITC Com Lt" w:hAnsi="Stone Sans II ITC Com Lt"/>
                <w:iCs/>
                <w:sz w:val="20"/>
                <w:szCs w:val="20"/>
              </w:rPr>
              <w:t xml:space="preserve">Die </w:t>
            </w:r>
            <w:r w:rsidR="005330E3" w:rsidRPr="005330E3">
              <w:rPr>
                <w:rFonts w:ascii="Stone Sans II ITC Com Lt" w:hAnsi="Stone Sans II ITC Com Lt"/>
                <w:iCs/>
                <w:sz w:val="20"/>
                <w:szCs w:val="20"/>
              </w:rPr>
              <w:t>Produkte</w:t>
            </w:r>
            <w:r w:rsidR="00021077">
              <w:rPr>
                <w:rFonts w:ascii="Stone Sans II ITC Com Lt" w:hAnsi="Stone Sans II ITC Com Lt"/>
                <w:iCs/>
                <w:sz w:val="20"/>
                <w:szCs w:val="20"/>
              </w:rPr>
              <w:t xml:space="preserve"> werden</w:t>
            </w:r>
            <w:r w:rsidR="005330E3" w:rsidRPr="005330E3">
              <w:rPr>
                <w:rFonts w:ascii="Stone Sans II ITC Com Lt" w:hAnsi="Stone Sans II ITC Com Lt"/>
                <w:iCs/>
                <w:sz w:val="20"/>
                <w:szCs w:val="20"/>
              </w:rPr>
              <w:t xml:space="preserve"> für anspruchsvolle Anwendungen in Schwerlastflächen, Notausstiege, Dichtflächen und Telekommunikationsanlagen</w:t>
            </w:r>
            <w:r w:rsidR="00021077">
              <w:rPr>
                <w:rFonts w:ascii="Stone Sans II ITC Com Lt" w:hAnsi="Stone Sans II ITC Com Lt"/>
                <w:iCs/>
                <w:sz w:val="20"/>
                <w:szCs w:val="20"/>
              </w:rPr>
              <w:t xml:space="preserve"> gefertigt</w:t>
            </w:r>
            <w:r w:rsidR="005330E3" w:rsidRPr="005330E3">
              <w:rPr>
                <w:rFonts w:ascii="Stone Sans II ITC Com Lt" w:hAnsi="Stone Sans II ITC Com Lt"/>
                <w:iCs/>
                <w:sz w:val="20"/>
                <w:szCs w:val="20"/>
              </w:rPr>
              <w:t>. Als Systemanbieter bietet das Unternehmen einen umfassenden Full Service – von der Produktentwicklung und dem Einbau bis hin zur Wartung und schnellen Instandsetzung.</w:t>
            </w:r>
          </w:p>
        </w:tc>
      </w:tr>
    </w:tbl>
    <w:p w14:paraId="53D300CE" w14:textId="77777777" w:rsidR="004D0869" w:rsidRDefault="004D0869" w:rsidP="004D0869">
      <w:pPr>
        <w:rPr>
          <w:rFonts w:ascii="Stone Sans II ITC Com Bk" w:hAnsi="Stone Sans II ITC Com Bk"/>
        </w:rPr>
      </w:pPr>
    </w:p>
    <w:p w14:paraId="000C9B5C" w14:textId="359025C4" w:rsidR="00E778B4" w:rsidRDefault="00E778B4" w:rsidP="004D0869">
      <w:pPr>
        <w:rPr>
          <w:rFonts w:ascii="Stone Sans II ITC Com Bk" w:hAnsi="Stone Sans II ITC Com Bk"/>
        </w:rPr>
      </w:pPr>
      <w:r>
        <w:rPr>
          <w:rFonts w:ascii="Stone Sans II ITC Com Bk" w:hAnsi="Stone Sans II ITC Com Bk"/>
        </w:rPr>
        <w:t>Bildmaterial: Quelle ACO</w:t>
      </w:r>
    </w:p>
    <w:p w14:paraId="251FD445" w14:textId="77777777" w:rsidR="00E778B4" w:rsidRDefault="00E778B4" w:rsidP="004D0869">
      <w:pPr>
        <w:rPr>
          <w:rFonts w:ascii="Stone Sans II ITC Com Bk" w:hAnsi="Stone Sans II ITC Com Bk"/>
        </w:rPr>
      </w:pPr>
    </w:p>
    <w:p w14:paraId="4B590DC1" w14:textId="2F2BA23C" w:rsidR="00E778B4" w:rsidRDefault="009B58A9" w:rsidP="004D0869">
      <w:pPr>
        <w:rPr>
          <w:rFonts w:ascii="Stone Sans II ITC Com Bk" w:hAnsi="Stone Sans II ITC Com Bk"/>
        </w:rPr>
      </w:pPr>
      <w:r w:rsidRPr="009B58A9">
        <w:rPr>
          <w:rFonts w:ascii="Stone Sans II ITC Com Bk" w:hAnsi="Stone Sans II ITC Com Bk"/>
          <w:noProof/>
        </w:rPr>
        <w:drawing>
          <wp:inline distT="0" distB="0" distL="0" distR="0" wp14:anchorId="37FB9F0E" wp14:editId="07227C06">
            <wp:extent cx="1829858" cy="2352675"/>
            <wp:effectExtent l="0" t="0" r="0" b="0"/>
            <wp:docPr id="14881982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98228" name=""/>
                    <pic:cNvPicPr/>
                  </pic:nvPicPr>
                  <pic:blipFill>
                    <a:blip r:embed="rId8"/>
                    <a:stretch>
                      <a:fillRect/>
                    </a:stretch>
                  </pic:blipFill>
                  <pic:spPr>
                    <a:xfrm>
                      <a:off x="0" y="0"/>
                      <a:ext cx="1832680" cy="2356303"/>
                    </a:xfrm>
                    <a:prstGeom prst="rect">
                      <a:avLst/>
                    </a:prstGeom>
                  </pic:spPr>
                </pic:pic>
              </a:graphicData>
            </a:graphic>
          </wp:inline>
        </w:drawing>
      </w:r>
    </w:p>
    <w:p w14:paraId="1A5CC672" w14:textId="5A0DCB2E" w:rsidR="009B58A9" w:rsidRDefault="009B58A9" w:rsidP="004D0869">
      <w:pPr>
        <w:rPr>
          <w:rFonts w:ascii="Stone Sans II ITC Com Bk" w:hAnsi="Stone Sans II ITC Com Bk"/>
        </w:rPr>
      </w:pPr>
      <w:r>
        <w:rPr>
          <w:rFonts w:ascii="Stone Sans II ITC Com Bk" w:hAnsi="Stone Sans II ITC Com Bk"/>
        </w:rPr>
        <w:t xml:space="preserve">Stefan Löbeth, Geschäftsführer ACO Passavant </w:t>
      </w:r>
      <w:proofErr w:type="spellStart"/>
      <w:r>
        <w:rPr>
          <w:rFonts w:ascii="Stone Sans II ITC Com Bk" w:hAnsi="Stone Sans II ITC Com Bk"/>
        </w:rPr>
        <w:t>Detego</w:t>
      </w:r>
      <w:proofErr w:type="spellEnd"/>
    </w:p>
    <w:p w14:paraId="0542854B" w14:textId="1D87E45C" w:rsidR="004865CD" w:rsidRDefault="004865CD">
      <w:pPr>
        <w:rPr>
          <w:rFonts w:ascii="Stone Sans II ITC Com Bk" w:hAnsi="Stone Sans II ITC Com Bk"/>
        </w:rPr>
      </w:pPr>
      <w:r>
        <w:rPr>
          <w:rFonts w:ascii="Stone Sans II ITC Com Bk" w:hAnsi="Stone Sans II ITC Com Bk"/>
        </w:rPr>
        <w:br w:type="page"/>
      </w:r>
    </w:p>
    <w:p w14:paraId="01504ECE" w14:textId="77777777" w:rsidR="004865CD" w:rsidRDefault="004865CD">
      <w:pPr>
        <w:rPr>
          <w:rFonts w:ascii="Stone Sans II ITC Com Bk" w:hAnsi="Stone Sans II ITC Com Bk"/>
        </w:rPr>
      </w:pPr>
    </w:p>
    <w:p w14:paraId="761BBF21" w14:textId="175E5BE5" w:rsidR="009B58A9" w:rsidRDefault="00A21477" w:rsidP="004D0869">
      <w:pPr>
        <w:rPr>
          <w:rFonts w:ascii="Stone Sans II ITC Com Bk" w:hAnsi="Stone Sans II ITC Com Bk"/>
        </w:rPr>
      </w:pPr>
      <w:r w:rsidRPr="00A21477">
        <w:rPr>
          <w:rFonts w:ascii="Stone Sans II ITC Com Bk" w:hAnsi="Stone Sans II ITC Com Bk"/>
          <w:noProof/>
        </w:rPr>
        <w:drawing>
          <wp:inline distT="0" distB="0" distL="0" distR="0" wp14:anchorId="0471FAC8" wp14:editId="64161E9F">
            <wp:extent cx="5760720" cy="2837180"/>
            <wp:effectExtent l="0" t="0" r="0" b="1270"/>
            <wp:docPr id="1075130312" name="Grafik 1" descr="Ein Bild, das draußen, Gebäude, Bau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130312" name="Grafik 1" descr="Ein Bild, das draußen, Gebäude, Baum, Haus enthält.&#10;&#10;Automatisch generierte Beschreibung"/>
                    <pic:cNvPicPr/>
                  </pic:nvPicPr>
                  <pic:blipFill>
                    <a:blip r:embed="rId9"/>
                    <a:stretch>
                      <a:fillRect/>
                    </a:stretch>
                  </pic:blipFill>
                  <pic:spPr>
                    <a:xfrm>
                      <a:off x="0" y="0"/>
                      <a:ext cx="5760720" cy="2837180"/>
                    </a:xfrm>
                    <a:prstGeom prst="rect">
                      <a:avLst/>
                    </a:prstGeom>
                  </pic:spPr>
                </pic:pic>
              </a:graphicData>
            </a:graphic>
          </wp:inline>
        </w:drawing>
      </w:r>
    </w:p>
    <w:p w14:paraId="37CD2868" w14:textId="20228DCD" w:rsidR="00A21477" w:rsidRPr="009F6218" w:rsidRDefault="00A23863" w:rsidP="004D0869">
      <w:pPr>
        <w:rPr>
          <w:rFonts w:ascii="Stone Sans II ITC Com Bk" w:hAnsi="Stone Sans II ITC Com Bk"/>
        </w:rPr>
      </w:pPr>
      <w:r w:rsidRPr="009F6218">
        <w:rPr>
          <w:rFonts w:ascii="Stone Sans II ITC Com Bk" w:hAnsi="Stone Sans II ITC Com Bk"/>
        </w:rPr>
        <w:t xml:space="preserve">ACO Passavant </w:t>
      </w:r>
      <w:proofErr w:type="spellStart"/>
      <w:r w:rsidRPr="009F6218">
        <w:rPr>
          <w:rFonts w:ascii="Stone Sans II ITC Com Bk" w:hAnsi="Stone Sans II ITC Com Bk"/>
        </w:rPr>
        <w:t>Detego</w:t>
      </w:r>
      <w:proofErr w:type="spellEnd"/>
      <w:r w:rsidRPr="009F6218">
        <w:rPr>
          <w:rFonts w:ascii="Stone Sans II ITC Com Bk" w:hAnsi="Stone Sans II ITC Com Bk"/>
        </w:rPr>
        <w:t>, Michelbacher Hütte in Aarbergen</w:t>
      </w:r>
    </w:p>
    <w:p w14:paraId="4F6F8DC0" w14:textId="77777777" w:rsidR="00A23863" w:rsidRPr="009F6218" w:rsidRDefault="00A23863" w:rsidP="004D0869">
      <w:pPr>
        <w:rPr>
          <w:rFonts w:ascii="Stone Sans II ITC Com Bk" w:hAnsi="Stone Sans II ITC Com Bk"/>
        </w:rPr>
      </w:pPr>
    </w:p>
    <w:p w14:paraId="03CED72B" w14:textId="77777777" w:rsidR="004D0869" w:rsidRPr="000E3A93" w:rsidRDefault="004D0869" w:rsidP="004D0869">
      <w:pPr>
        <w:spacing w:after="0"/>
        <w:textAlignment w:val="baseline"/>
        <w:rPr>
          <w:rFonts w:ascii="Stone Sans II ITC Com Lt" w:eastAsia="Times New Roman" w:hAnsi="Stone Sans II ITC Com Lt" w:cs="Arial"/>
          <w:b/>
          <w:bCs/>
          <w:lang w:eastAsia="de-DE"/>
        </w:rPr>
      </w:pPr>
      <w:r w:rsidRPr="000E3A93">
        <w:rPr>
          <w:rFonts w:ascii="Stone Sans II ITC Com Lt" w:eastAsia="Times New Roman" w:hAnsi="Stone Sans II ITC Com Lt" w:cs="Arial"/>
          <w:b/>
          <w:bCs/>
          <w:lang w:eastAsia="de-DE"/>
        </w:rPr>
        <w:t>Pressekontakt:</w:t>
      </w:r>
    </w:p>
    <w:p w14:paraId="312144BE" w14:textId="7A70514E" w:rsidR="004D0869" w:rsidRPr="009F6218" w:rsidRDefault="004D0869" w:rsidP="004D0869">
      <w:pPr>
        <w:spacing w:after="0"/>
        <w:textAlignment w:val="baseline"/>
        <w:rPr>
          <w:rFonts w:ascii="Stone Sans II ITC Com Lt" w:eastAsia="Times New Roman" w:hAnsi="Stone Sans II ITC Com Lt" w:cs="Arial"/>
          <w:lang w:val="en-US" w:eastAsia="de-DE"/>
        </w:rPr>
      </w:pPr>
      <w:r w:rsidRPr="009F6218">
        <w:rPr>
          <w:rFonts w:ascii="Stone Sans II ITC Com Lt" w:eastAsia="Times New Roman" w:hAnsi="Stone Sans II ITC Com Lt" w:cs="Arial"/>
          <w:lang w:val="en-US" w:eastAsia="de-DE"/>
        </w:rPr>
        <w:t>ACO GmbH</w:t>
      </w:r>
    </w:p>
    <w:p w14:paraId="645708BC" w14:textId="77777777" w:rsidR="004D0869" w:rsidRPr="009F6218" w:rsidRDefault="004D0869" w:rsidP="004D0869">
      <w:pPr>
        <w:rPr>
          <w:rStyle w:val="Hyperlink"/>
          <w:rFonts w:ascii="Stone Sans II ITC Com Lt" w:hAnsi="Stone Sans II ITC Com Lt" w:cs="Arial"/>
          <w:color w:val="000000" w:themeColor="text1"/>
          <w:lang w:val="en-US"/>
        </w:rPr>
      </w:pPr>
      <w:r w:rsidRPr="009F6218">
        <w:rPr>
          <w:rFonts w:ascii="Stone Sans II ITC Com Lt" w:hAnsi="Stone Sans II ITC Com Lt" w:cs="Arial"/>
          <w:b/>
          <w:bCs/>
          <w:color w:val="000000" w:themeColor="text1"/>
          <w:lang w:val="en-US"/>
        </w:rPr>
        <w:t xml:space="preserve">Tanja Holst </w:t>
      </w:r>
      <w:r w:rsidRPr="009F6218">
        <w:rPr>
          <w:rFonts w:ascii="Stone Sans II ITC Com Lt" w:hAnsi="Stone Sans II ITC Com Lt" w:cs="Arial"/>
          <w:b/>
          <w:bCs/>
          <w:color w:val="000000" w:themeColor="text1"/>
          <w:lang w:val="en-US"/>
        </w:rPr>
        <w:br/>
      </w:r>
      <w:r w:rsidRPr="009F6218">
        <w:rPr>
          <w:rFonts w:ascii="Stone Sans II ITC Com Lt" w:hAnsi="Stone Sans II ITC Com Lt" w:cs="Arial"/>
          <w:color w:val="000000" w:themeColor="text1"/>
          <w:lang w:val="en-US"/>
        </w:rPr>
        <w:t>Public Relations - Fachpresse</w:t>
      </w:r>
      <w:r w:rsidRPr="009F6218">
        <w:rPr>
          <w:rFonts w:ascii="Stone Sans II ITC Com Lt" w:hAnsi="Stone Sans II ITC Com Lt" w:cs="Arial"/>
          <w:color w:val="000000"/>
          <w:shd w:val="clear" w:color="auto" w:fill="FFFFFF"/>
          <w:lang w:val="en-US"/>
        </w:rPr>
        <w:br/>
        <w:t>T</w:t>
      </w:r>
      <w:r w:rsidRPr="009F6218">
        <w:rPr>
          <w:rFonts w:ascii="Stone Sans II ITC Com Lt" w:hAnsi="Stone Sans II ITC Com Lt" w:cs="Arial"/>
          <w:color w:val="000000" w:themeColor="text1"/>
          <w:shd w:val="clear" w:color="auto" w:fill="FFFFFF"/>
          <w:lang w:val="en-US"/>
        </w:rPr>
        <w:t>el.: </w:t>
      </w:r>
      <w:hyperlink r:id="rId10" w:history="1">
        <w:r w:rsidRPr="009F6218">
          <w:rPr>
            <w:rStyle w:val="Hyperlink"/>
            <w:rFonts w:ascii="Stone Sans II ITC Com Lt" w:hAnsi="Stone Sans II ITC Com Lt" w:cs="Arial"/>
            <w:color w:val="000000" w:themeColor="text1"/>
            <w:shd w:val="clear" w:color="auto" w:fill="FFFFFF"/>
            <w:lang w:val="en-US"/>
          </w:rPr>
          <w:t xml:space="preserve">+49 4331 354 </w:t>
        </w:r>
      </w:hyperlink>
      <w:r w:rsidRPr="009F6218">
        <w:rPr>
          <w:rStyle w:val="Hyperlink"/>
          <w:rFonts w:ascii="Stone Sans II ITC Com Lt" w:hAnsi="Stone Sans II ITC Com Lt" w:cs="Arial"/>
          <w:color w:val="000000" w:themeColor="text1"/>
          <w:shd w:val="clear" w:color="auto" w:fill="FFFFFF"/>
          <w:lang w:val="en-US"/>
        </w:rPr>
        <w:t>197</w:t>
      </w:r>
      <w:r w:rsidRPr="009F6218">
        <w:rPr>
          <w:rStyle w:val="Hyperlink"/>
          <w:rFonts w:ascii="Stone Sans II ITC Com Lt" w:hAnsi="Stone Sans II ITC Com Lt" w:cs="Arial"/>
          <w:color w:val="000000" w:themeColor="text1"/>
          <w:shd w:val="clear" w:color="auto" w:fill="FFFFFF"/>
          <w:lang w:val="en-US"/>
        </w:rPr>
        <w:br/>
        <w:t>Mobil: +49 151 64738331</w:t>
      </w:r>
      <w:r w:rsidRPr="009F6218">
        <w:rPr>
          <w:rFonts w:ascii="Stone Sans II ITC Com Lt" w:hAnsi="Stone Sans II ITC Com Lt" w:cs="Arial"/>
          <w:color w:val="000000"/>
          <w:lang w:val="en-US" w:eastAsia="de-DE"/>
        </w:rPr>
        <w:t xml:space="preserve"> </w:t>
      </w:r>
      <w:r w:rsidRPr="009F6218">
        <w:rPr>
          <w:rFonts w:ascii="Stone Sans II ITC Com Lt" w:hAnsi="Stone Sans II ITC Com Lt" w:cs="Arial"/>
          <w:color w:val="000000"/>
          <w:lang w:val="en-US" w:eastAsia="de-DE"/>
        </w:rPr>
        <w:br/>
      </w:r>
      <w:r w:rsidRPr="009F6218">
        <w:rPr>
          <w:rFonts w:ascii="Stone Sans II ITC Com Lt" w:hAnsi="Stone Sans II ITC Com Lt" w:cs="Arial"/>
          <w:color w:val="000000" w:themeColor="text1"/>
          <w:shd w:val="clear" w:color="auto" w:fill="FFFFFF"/>
          <w:lang w:val="en-US"/>
        </w:rPr>
        <w:t>E-Mail: </w:t>
      </w:r>
      <w:hyperlink r:id="rId11" w:history="1">
        <w:r w:rsidRPr="009F6218">
          <w:rPr>
            <w:rStyle w:val="Hyperlink"/>
            <w:rFonts w:ascii="Stone Sans II ITC Com Lt" w:hAnsi="Stone Sans II ITC Com Lt" w:cs="Arial"/>
            <w:shd w:val="clear" w:color="auto" w:fill="FFFFFF"/>
            <w:lang w:val="en-US"/>
          </w:rPr>
          <w:t>tanja.holst@aco.com</w:t>
        </w:r>
      </w:hyperlink>
    </w:p>
    <w:p w14:paraId="454F0710" w14:textId="77777777" w:rsidR="004D0869" w:rsidRPr="009F6218" w:rsidRDefault="004D0869" w:rsidP="004D0869">
      <w:pPr>
        <w:rPr>
          <w:rFonts w:ascii="Stone Sans II ITC Com Bk" w:hAnsi="Stone Sans II ITC Com Bk"/>
          <w:lang w:val="en-US"/>
        </w:rPr>
      </w:pPr>
    </w:p>
    <w:p w14:paraId="3ECFE42E" w14:textId="77777777" w:rsidR="00672341" w:rsidRPr="009F6218" w:rsidRDefault="00672341" w:rsidP="004D0869">
      <w:pPr>
        <w:rPr>
          <w:rFonts w:ascii="Stone Sans II ITC Com Bk" w:hAnsi="Stone Sans II ITC Com Bk"/>
          <w:lang w:val="en-US"/>
        </w:rPr>
      </w:pPr>
    </w:p>
    <w:sectPr w:rsidR="00672341" w:rsidRPr="009F6218">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380A84" w14:textId="77777777" w:rsidR="009C3CB0" w:rsidRDefault="009C3CB0" w:rsidP="004D0869">
      <w:pPr>
        <w:spacing w:after="0" w:line="240" w:lineRule="auto"/>
      </w:pPr>
      <w:r>
        <w:separator/>
      </w:r>
    </w:p>
  </w:endnote>
  <w:endnote w:type="continuationSeparator" w:id="0">
    <w:p w14:paraId="7BA47E93" w14:textId="77777777" w:rsidR="009C3CB0" w:rsidRDefault="009C3CB0" w:rsidP="004D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tone Sans II ITC Com Bk">
    <w:panose1 w:val="020B0502040503020204"/>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ne Sans II ITC Com Lt">
    <w:altName w:val="Stone Sans II ITC Com Lt"/>
    <w:panose1 w:val="020B0302040503020204"/>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NewsGothic,Bold">
    <w:panose1 w:val="00000000000000000000"/>
    <w:charset w:val="00"/>
    <w:family w:val="auto"/>
    <w:notTrueType/>
    <w:pitch w:val="default"/>
    <w:sig w:usb0="00000003" w:usb1="00000000" w:usb2="00000000" w:usb3="00000000" w:csb0="00000001" w:csb1="00000000"/>
  </w:font>
  <w:font w:name="Stone Sans II ITC Com Lt Cn">
    <w:panose1 w:val="020B0306040503020204"/>
    <w:charset w:val="00"/>
    <w:family w:val="swiss"/>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493EE" w14:textId="5718188A" w:rsidR="004D0869" w:rsidRDefault="004D0869">
    <w:pPr>
      <w:pStyle w:val="Fuzeile"/>
    </w:pPr>
    <w:r>
      <w:rPr>
        <w:noProof/>
        <w:lang w:eastAsia="de-DE"/>
      </w:rPr>
      <w:drawing>
        <wp:anchor distT="0" distB="0" distL="114300" distR="114300" simplePos="0" relativeHeight="251667456" behindDoc="0" locked="0" layoutInCell="1" allowOverlap="1" wp14:anchorId="52723A34" wp14:editId="720E3FF4">
          <wp:simplePos x="0" y="0"/>
          <wp:positionH relativeFrom="column">
            <wp:posOffset>1510030</wp:posOffset>
          </wp:positionH>
          <wp:positionV relativeFrom="paragraph">
            <wp:posOffset>5715</wp:posOffset>
          </wp:positionV>
          <wp:extent cx="251460" cy="251460"/>
          <wp:effectExtent l="0" t="0" r="0" b="0"/>
          <wp:wrapNone/>
          <wp:docPr id="4" name="Grafik 4" descr="Ein Bild, das Symbol, Logo, Schrift, Grafiken enthält.&#10;&#10;Automatisch generierte Beschreibu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Symbol, Logo, Schrift, Grafiken enthält.&#10;&#10;Automatisch generierte Beschreibung">
                    <a:hlinkClick r:id="rId1"/>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3360" behindDoc="1" locked="0" layoutInCell="1" allowOverlap="1" wp14:anchorId="5F1FDB19" wp14:editId="1F0010F9">
          <wp:simplePos x="0" y="0"/>
          <wp:positionH relativeFrom="column">
            <wp:posOffset>757555</wp:posOffset>
          </wp:positionH>
          <wp:positionV relativeFrom="paragraph">
            <wp:posOffset>5716</wp:posOffset>
          </wp:positionV>
          <wp:extent cx="228915" cy="251460"/>
          <wp:effectExtent l="0" t="0" r="0" b="0"/>
          <wp:wrapNone/>
          <wp:docPr id="6" name="Grafik 6" descr="Ein Bild, das Logo, Text, Symbol, rot enthält.&#10;&#10;Automatisch generierte Beschreibu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Logo, Text, Symbol, rot enthält.&#10;&#10;Automatisch generierte Beschreibung">
                    <a:hlinkClick r:id="rId3"/>
                  </pic:cNvPr>
                  <pic:cNvPicPr/>
                </pic:nvPicPr>
                <pic:blipFill>
                  <a:blip r:embed="rId4" cstate="print">
                    <a:extLst>
                      <a:ext uri="{28A0092B-C50C-407E-A947-70E740481C1C}">
                        <a14:useLocalDpi xmlns:a14="http://schemas.microsoft.com/office/drawing/2010/main" val="0"/>
                      </a:ext>
                    </a:extLst>
                  </a:blip>
                  <a:stretch>
                    <a:fillRect/>
                  </a:stretch>
                </pic:blipFill>
                <pic:spPr>
                  <a:xfrm>
                    <a:off x="0" y="0"/>
                    <a:ext cx="232495" cy="255393"/>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5408" behindDoc="0" locked="0" layoutInCell="1" allowOverlap="1" wp14:anchorId="7609D443" wp14:editId="127081EF">
          <wp:simplePos x="0" y="0"/>
          <wp:positionH relativeFrom="column">
            <wp:posOffset>1148080</wp:posOffset>
          </wp:positionH>
          <wp:positionV relativeFrom="paragraph">
            <wp:posOffset>5715</wp:posOffset>
          </wp:positionV>
          <wp:extent cx="251460" cy="251460"/>
          <wp:effectExtent l="0" t="0" r="0" b="0"/>
          <wp:wrapNone/>
          <wp:docPr id="5" name="Grafik 5" descr="Ein Bild, das Symbol, rot, Grafiken, Kreis enthält.&#10;&#10;Automatisch generierte Beschreibu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Symbol, rot, Grafiken, Kreis enthält.&#10;&#10;Automatisch generierte Beschreibung">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drawing>
        <wp:anchor distT="0" distB="0" distL="114300" distR="114300" simplePos="0" relativeHeight="251659264" behindDoc="1" locked="0" layoutInCell="1" allowOverlap="1" wp14:anchorId="3F87D2A5" wp14:editId="7E0634EB">
          <wp:simplePos x="0" y="0"/>
          <wp:positionH relativeFrom="margin">
            <wp:posOffset>19050</wp:posOffset>
          </wp:positionH>
          <wp:positionV relativeFrom="paragraph">
            <wp:posOffset>9525</wp:posOffset>
          </wp:positionV>
          <wp:extent cx="252000" cy="252000"/>
          <wp:effectExtent l="0" t="0" r="0" b="0"/>
          <wp:wrapTight wrapText="bothSides">
            <wp:wrapPolygon edited="0">
              <wp:start x="0" y="0"/>
              <wp:lineTo x="0" y="19636"/>
              <wp:lineTo x="19636" y="19636"/>
              <wp:lineTo x="19636" y="0"/>
              <wp:lineTo x="0" y="0"/>
            </wp:wrapPolygon>
          </wp:wrapTight>
          <wp:docPr id="8" name="Grafik 8" descr="Ein Bild, das Symbol, Logo, rot, Schrift enthält.&#10;&#10;Automatisch generierte Beschreibu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ymbol, Logo, rot, Schrift enthält.&#10;&#10;Automatisch generierte Beschreibung">
                    <a:hlinkClick r:id="rId7"/>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1312" behindDoc="0" locked="0" layoutInCell="1" allowOverlap="1" wp14:anchorId="45DAED9D" wp14:editId="57755639">
          <wp:simplePos x="0" y="0"/>
          <wp:positionH relativeFrom="column">
            <wp:posOffset>381000</wp:posOffset>
          </wp:positionH>
          <wp:positionV relativeFrom="paragraph">
            <wp:posOffset>9525</wp:posOffset>
          </wp:positionV>
          <wp:extent cx="251460" cy="251460"/>
          <wp:effectExtent l="0" t="0" r="0" b="0"/>
          <wp:wrapThrough wrapText="bothSides">
            <wp:wrapPolygon edited="0">
              <wp:start x="0" y="0"/>
              <wp:lineTo x="0" y="19636"/>
              <wp:lineTo x="19636" y="19636"/>
              <wp:lineTo x="19636" y="0"/>
              <wp:lineTo x="0" y="0"/>
            </wp:wrapPolygon>
          </wp:wrapThrough>
          <wp:docPr id="7" name="Grafik 7" descr="Ein Bild, das Logo, Text, Symbol, Schrift enthält.&#10;&#10;Automatisch generierte Beschreibu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Logo, Text, Symbol, Schrift enthält.&#10;&#10;Automatisch generierte Beschreibung">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margin">
            <wp14:pctWidth>0</wp14:pctWidth>
          </wp14:sizeRelH>
          <wp14:sizeRelV relativeFrom="margin">
            <wp14:pctHeight>0</wp14:pctHeight>
          </wp14:sizeRelV>
        </wp:anchor>
      </w:drawing>
    </w:r>
    <w:r>
      <w:rPr>
        <w:rFonts w:ascii="Stone Sans II ITC Com Lt Cn" w:hAnsi="Stone Sans II ITC Com Lt Cn"/>
        <w:noProof/>
        <w:color w:val="BFBFBF"/>
        <w:sz w:val="18"/>
        <w:szCs w:val="18"/>
        <w:lang w:eastAsia="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FAA24" w14:textId="77777777" w:rsidR="009C3CB0" w:rsidRDefault="009C3CB0" w:rsidP="004D0869">
      <w:pPr>
        <w:spacing w:after="0" w:line="240" w:lineRule="auto"/>
      </w:pPr>
      <w:r>
        <w:separator/>
      </w:r>
    </w:p>
  </w:footnote>
  <w:footnote w:type="continuationSeparator" w:id="0">
    <w:p w14:paraId="65021489" w14:textId="77777777" w:rsidR="009C3CB0" w:rsidRDefault="009C3CB0" w:rsidP="004D08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07E00" w14:textId="0184C5B3" w:rsidR="00E05ED5" w:rsidRDefault="00DA1584" w:rsidP="00DA1584">
    <w:pPr>
      <w:pStyle w:val="Kopfzeile"/>
      <w:jc w:val="right"/>
    </w:pPr>
    <w:r>
      <w:rPr>
        <w:rFonts w:ascii="Stone Sans II ITC Com Bk" w:hAnsi="Stone Sans II ITC Com Bk" w:cs="NewsGothic,Bold"/>
        <w:b/>
        <w:bCs/>
        <w:noProof/>
        <w:sz w:val="36"/>
        <w:szCs w:val="30"/>
        <w:lang w:eastAsia="de-DE"/>
      </w:rPr>
      <w:drawing>
        <wp:inline distT="0" distB="0" distL="0" distR="0" wp14:anchorId="2C528328" wp14:editId="7B4455CE">
          <wp:extent cx="820592" cy="628650"/>
          <wp:effectExtent l="0" t="0" r="0" b="0"/>
          <wp:docPr id="436298119" name="Grafik 1" descr="Ein Bild, das Schrift, Grafiken, r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98119" name="Grafik 1" descr="Ein Bild, das Schrift, Grafiken, rot,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827910" cy="634256"/>
                  </a:xfrm>
                  <a:prstGeom prst="rect">
                    <a:avLst/>
                  </a:prstGeom>
                </pic:spPr>
              </pic:pic>
            </a:graphicData>
          </a:graphic>
        </wp:inline>
      </w:drawing>
    </w:r>
  </w:p>
  <w:p w14:paraId="22B9BA61" w14:textId="5380ACBB" w:rsidR="00DA1584" w:rsidRPr="00CC593B" w:rsidRDefault="00DA1584" w:rsidP="00DA1584">
    <w:pPr>
      <w:pStyle w:val="Kopfzeile"/>
      <w:jc w:val="right"/>
      <w:rPr>
        <w:rFonts w:ascii="Stone Sans II ITC Com Bk" w:hAnsi="Stone Sans II ITC Com Bk"/>
      </w:rPr>
    </w:pPr>
    <w:r>
      <w:br/>
    </w:r>
    <w:r w:rsidRPr="00CC593B">
      <w:rPr>
        <w:rFonts w:ascii="Stone Sans II ITC Com Bk" w:hAnsi="Stone Sans II ITC Com Bk"/>
      </w:rPr>
      <w:t xml:space="preserve">ACO Passavant </w:t>
    </w:r>
    <w:proofErr w:type="spellStart"/>
    <w:r w:rsidRPr="00CC593B">
      <w:rPr>
        <w:rFonts w:ascii="Stone Sans II ITC Com Bk" w:hAnsi="Stone Sans II ITC Com Bk"/>
      </w:rPr>
      <w:t>Detego</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BA4466"/>
    <w:multiLevelType w:val="hybridMultilevel"/>
    <w:tmpl w:val="CB121502"/>
    <w:lvl w:ilvl="0" w:tplc="37844ECE">
      <w:numFmt w:val="bullet"/>
      <w:lvlText w:val="-"/>
      <w:lvlJc w:val="left"/>
      <w:pPr>
        <w:ind w:left="720" w:hanging="360"/>
      </w:pPr>
      <w:rPr>
        <w:rFonts w:ascii="Stone Sans II ITC Com Bk" w:eastAsiaTheme="minorHAnsi" w:hAnsi="Stone Sans II ITC Com B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FB24FC"/>
    <w:multiLevelType w:val="multilevel"/>
    <w:tmpl w:val="2E58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8552527"/>
    <w:multiLevelType w:val="multilevel"/>
    <w:tmpl w:val="FEB4E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5978310">
    <w:abstractNumId w:val="1"/>
  </w:num>
  <w:num w:numId="2" w16cid:durableId="796752753">
    <w:abstractNumId w:val="2"/>
  </w:num>
  <w:num w:numId="3" w16cid:durableId="8913850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869"/>
    <w:rsid w:val="00021077"/>
    <w:rsid w:val="000408D8"/>
    <w:rsid w:val="000A6C2C"/>
    <w:rsid w:val="000C00D9"/>
    <w:rsid w:val="000E3A93"/>
    <w:rsid w:val="000F232F"/>
    <w:rsid w:val="00127A97"/>
    <w:rsid w:val="001360B7"/>
    <w:rsid w:val="0018741A"/>
    <w:rsid w:val="001C2FCC"/>
    <w:rsid w:val="00253268"/>
    <w:rsid w:val="002D14E4"/>
    <w:rsid w:val="004811BE"/>
    <w:rsid w:val="004827D6"/>
    <w:rsid w:val="004865CD"/>
    <w:rsid w:val="004D0869"/>
    <w:rsid w:val="005330E3"/>
    <w:rsid w:val="005E633C"/>
    <w:rsid w:val="005F0A62"/>
    <w:rsid w:val="005F503C"/>
    <w:rsid w:val="00672341"/>
    <w:rsid w:val="006A7D65"/>
    <w:rsid w:val="00713804"/>
    <w:rsid w:val="00787BCE"/>
    <w:rsid w:val="007E298A"/>
    <w:rsid w:val="00866E01"/>
    <w:rsid w:val="009B58A9"/>
    <w:rsid w:val="009C3CB0"/>
    <w:rsid w:val="009F6218"/>
    <w:rsid w:val="00A21477"/>
    <w:rsid w:val="00A23863"/>
    <w:rsid w:val="00A470A6"/>
    <w:rsid w:val="00A57468"/>
    <w:rsid w:val="00A65C77"/>
    <w:rsid w:val="00AA5AE0"/>
    <w:rsid w:val="00B26756"/>
    <w:rsid w:val="00BE146D"/>
    <w:rsid w:val="00C42386"/>
    <w:rsid w:val="00CC593B"/>
    <w:rsid w:val="00D23833"/>
    <w:rsid w:val="00D375A7"/>
    <w:rsid w:val="00D52C47"/>
    <w:rsid w:val="00D54F1A"/>
    <w:rsid w:val="00D5562B"/>
    <w:rsid w:val="00D8009D"/>
    <w:rsid w:val="00DA1584"/>
    <w:rsid w:val="00DA469A"/>
    <w:rsid w:val="00DA4B25"/>
    <w:rsid w:val="00E05ED5"/>
    <w:rsid w:val="00E778B4"/>
    <w:rsid w:val="00EC38C7"/>
    <w:rsid w:val="00F0621B"/>
    <w:rsid w:val="00F22DC5"/>
    <w:rsid w:val="00FE0F65"/>
    <w:rsid w:val="00FF37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78F9D"/>
  <w15:chartTrackingRefBased/>
  <w15:docId w15:val="{5B5BD678-1B6F-4CDC-B473-8BD9394ED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D0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D0869"/>
    <w:rPr>
      <w:color w:val="0563C1" w:themeColor="hyperlink"/>
      <w:u w:val="single"/>
    </w:rPr>
  </w:style>
  <w:style w:type="paragraph" w:styleId="Kopfzeile">
    <w:name w:val="header"/>
    <w:basedOn w:val="Standard"/>
    <w:link w:val="KopfzeileZchn"/>
    <w:uiPriority w:val="99"/>
    <w:unhideWhenUsed/>
    <w:rsid w:val="004D086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D0869"/>
  </w:style>
  <w:style w:type="paragraph" w:styleId="Fuzeile">
    <w:name w:val="footer"/>
    <w:basedOn w:val="Standard"/>
    <w:link w:val="FuzeileZchn"/>
    <w:uiPriority w:val="99"/>
    <w:unhideWhenUsed/>
    <w:rsid w:val="004D086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D0869"/>
  </w:style>
  <w:style w:type="paragraph" w:styleId="Listenabsatz">
    <w:name w:val="List Paragraph"/>
    <w:basedOn w:val="Standard"/>
    <w:uiPriority w:val="34"/>
    <w:qFormat/>
    <w:rsid w:val="001C2FCC"/>
    <w:pPr>
      <w:ind w:left="720"/>
      <w:contextualSpacing/>
    </w:pPr>
  </w:style>
  <w:style w:type="character" w:styleId="NichtaufgelsteErwhnung">
    <w:name w:val="Unresolved Mention"/>
    <w:basedOn w:val="Absatz-Standardschriftart"/>
    <w:uiPriority w:val="99"/>
    <w:semiHidden/>
    <w:unhideWhenUsed/>
    <w:rsid w:val="002D14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651350">
      <w:bodyDiv w:val="1"/>
      <w:marLeft w:val="0"/>
      <w:marRight w:val="0"/>
      <w:marTop w:val="0"/>
      <w:marBottom w:val="0"/>
      <w:divBdr>
        <w:top w:val="none" w:sz="0" w:space="0" w:color="auto"/>
        <w:left w:val="none" w:sz="0" w:space="0" w:color="auto"/>
        <w:bottom w:val="none" w:sz="0" w:space="0" w:color="auto"/>
        <w:right w:val="none" w:sz="0" w:space="0" w:color="auto"/>
      </w:divBdr>
    </w:div>
    <w:div w:id="193810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aco-detego.d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anja.holst@aco.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tel:+494331354174"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s://www.youtube.com/user/ACO" TargetMode="External"/><Relationship Id="rId7" Type="http://schemas.openxmlformats.org/officeDocument/2006/relationships/hyperlink" Target="https://www.facebook.com/aco.gmbh/" TargetMode="External"/><Relationship Id="rId2" Type="http://schemas.openxmlformats.org/officeDocument/2006/relationships/image" Target="media/image4.jpeg"/><Relationship Id="rId1" Type="http://schemas.openxmlformats.org/officeDocument/2006/relationships/hyperlink" Target="https://www.pinterest.de/aco_group/" TargetMode="External"/><Relationship Id="rId6" Type="http://schemas.openxmlformats.org/officeDocument/2006/relationships/image" Target="media/image6.jpeg"/><Relationship Id="rId5" Type="http://schemas.openxmlformats.org/officeDocument/2006/relationships/hyperlink" Target="https://www.instagram.com/aco_gmbh/" TargetMode="External"/><Relationship Id="rId10" Type="http://schemas.openxmlformats.org/officeDocument/2006/relationships/image" Target="media/image8.jpeg"/><Relationship Id="rId4" Type="http://schemas.openxmlformats.org/officeDocument/2006/relationships/image" Target="media/image5.jpeg"/><Relationship Id="rId9" Type="http://schemas.openxmlformats.org/officeDocument/2006/relationships/hyperlink" Target="https://www.linkedin.com/company/925405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468</Words>
  <Characters>2954</Characters>
  <Application>Microsoft Office Word</Application>
  <DocSecurity>0</DocSecurity>
  <Lines>24</Lines>
  <Paragraphs>6</Paragraphs>
  <ScaleCrop>false</ScaleCrop>
  <Company/>
  <LinksUpToDate>false</LinksUpToDate>
  <CharactersWithSpaces>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Holst, Tanja</dc:creator>
  <cp:keywords/>
  <dc:description/>
  <cp:lastModifiedBy>Holst, Tanja</cp:lastModifiedBy>
  <cp:revision>43</cp:revision>
  <dcterms:created xsi:type="dcterms:W3CDTF">2025-01-06T07:52:00Z</dcterms:created>
  <dcterms:modified xsi:type="dcterms:W3CDTF">2025-01-07T05:44:00Z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2c3a69-5bb1-4896-a591-f45b96dda59d_Enabled">
    <vt:lpwstr>true</vt:lpwstr>
  </property>
  <property fmtid="{D5CDD505-2E9C-101B-9397-08002B2CF9AE}" pid="3" name="MSIP_Label_a02c3a69-5bb1-4896-a591-f45b96dda59d_SetDate">
    <vt:lpwstr>2024-04-14T12:09:26Z</vt:lpwstr>
  </property>
  <property fmtid="{D5CDD505-2E9C-101B-9397-08002B2CF9AE}" pid="4" name="MSIP_Label_a02c3a69-5bb1-4896-a591-f45b96dda59d_Method">
    <vt:lpwstr>Standard</vt:lpwstr>
  </property>
  <property fmtid="{D5CDD505-2E9C-101B-9397-08002B2CF9AE}" pid="5" name="MSIP_Label_a02c3a69-5bb1-4896-a591-f45b96dda59d_Name">
    <vt:lpwstr>Public</vt:lpwstr>
  </property>
  <property fmtid="{D5CDD505-2E9C-101B-9397-08002B2CF9AE}" pid="6" name="MSIP_Label_a02c3a69-5bb1-4896-a591-f45b96dda59d_SiteId">
    <vt:lpwstr>b53f6739-82d2-42c3-8e8d-458bdd89805b</vt:lpwstr>
  </property>
  <property fmtid="{D5CDD505-2E9C-101B-9397-08002B2CF9AE}" pid="7" name="MSIP_Label_a02c3a69-5bb1-4896-a591-f45b96dda59d_ActionId">
    <vt:lpwstr>78a95a13-6b63-4f80-8403-383cfc2eea3e</vt:lpwstr>
  </property>
  <property fmtid="{D5CDD505-2E9C-101B-9397-08002B2CF9AE}" pid="8" name="MSIP_Label_a02c3a69-5bb1-4896-a591-f45b96dda59d_ContentBits">
    <vt:lpwstr>0</vt:lpwstr>
  </property>
</Properties>
</file>