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A3A20" w14:textId="77777777" w:rsidR="004D0869" w:rsidRPr="004D0869" w:rsidRDefault="004D0869">
      <w:pPr>
        <w:rPr>
          <w:rFonts w:ascii="Stone Sans II ITC Com Bk" w:hAnsi="Stone Sans II ITC Com Bk"/>
        </w:rPr>
      </w:pPr>
    </w:p>
    <w:p w14:paraId="13FB6A62" w14:textId="77777777" w:rsidR="004D0869" w:rsidRPr="004D0869" w:rsidRDefault="004D0869">
      <w:pPr>
        <w:rPr>
          <w:rFonts w:ascii="Stone Sans II ITC Com Bk" w:hAnsi="Stone Sans II ITC Com Bk"/>
        </w:rPr>
      </w:pPr>
    </w:p>
    <w:p w14:paraId="6BE39954" w14:textId="77777777" w:rsidR="004D0869" w:rsidRPr="004D0869" w:rsidRDefault="004D0869">
      <w:pPr>
        <w:rPr>
          <w:rFonts w:ascii="Stone Sans II ITC Com Bk" w:hAnsi="Stone Sans II ITC Com Bk"/>
        </w:rPr>
      </w:pPr>
    </w:p>
    <w:p w14:paraId="201BB4BD" w14:textId="77777777" w:rsidR="004D0869" w:rsidRPr="004D0869" w:rsidRDefault="004D0869">
      <w:pPr>
        <w:rPr>
          <w:rFonts w:ascii="Stone Sans II ITC Com Bk" w:hAnsi="Stone Sans II ITC Com Bk"/>
        </w:rPr>
      </w:pPr>
    </w:p>
    <w:p w14:paraId="48F07892" w14:textId="20759F40" w:rsidR="006A7D65" w:rsidRPr="004D0869" w:rsidRDefault="004D0869">
      <w:pPr>
        <w:rPr>
          <w:rFonts w:ascii="Stone Sans II ITC Com Bk" w:hAnsi="Stone Sans II ITC Com Bk"/>
          <w:sz w:val="32"/>
          <w:szCs w:val="32"/>
        </w:rPr>
      </w:pPr>
      <w:r w:rsidRPr="004D0869">
        <w:rPr>
          <w:rFonts w:ascii="Stone Sans II ITC Com Bk" w:hAnsi="Stone Sans II ITC Com Bk" w:cs="NewsGothic,Bold"/>
          <w:b/>
          <w:bCs/>
          <w:noProof/>
          <w:sz w:val="36"/>
          <w:szCs w:val="30"/>
          <w:lang w:eastAsia="de-DE"/>
        </w:rPr>
        <w:drawing>
          <wp:anchor distT="0" distB="0" distL="114300" distR="114300" simplePos="0" relativeHeight="251659264" behindDoc="0" locked="0" layoutInCell="1" allowOverlap="1" wp14:anchorId="5D19DB0D" wp14:editId="15C49447">
            <wp:simplePos x="0" y="0"/>
            <wp:positionH relativeFrom="margin">
              <wp:align>right</wp:align>
            </wp:positionH>
            <wp:positionV relativeFrom="margin">
              <wp:align>top</wp:align>
            </wp:positionV>
            <wp:extent cx="827405" cy="827405"/>
            <wp:effectExtent l="0" t="0" r="0" b="0"/>
            <wp:wrapSquare wrapText="bothSides"/>
            <wp:docPr id="1" name="Grafik 1" descr="Ein Bild, das Grafiken, ro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rafiken, rot, Schrift, Screenshot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margin">
              <wp14:pctWidth>0</wp14:pctWidth>
            </wp14:sizeRelH>
            <wp14:sizeRelV relativeFrom="margin">
              <wp14:pctHeight>0</wp14:pctHeight>
            </wp14:sizeRelV>
          </wp:anchor>
        </w:drawing>
      </w:r>
      <w:r w:rsidRPr="004D0869">
        <w:rPr>
          <w:rFonts w:ascii="Stone Sans II ITC Com Bk" w:hAnsi="Stone Sans II ITC Com Bk"/>
          <w:sz w:val="32"/>
          <w:szCs w:val="32"/>
        </w:rPr>
        <w:t>Pressemitteilung</w:t>
      </w:r>
    </w:p>
    <w:p w14:paraId="35E05FE6" w14:textId="77777777" w:rsidR="004D0869" w:rsidRDefault="004D0869">
      <w:pPr>
        <w:rPr>
          <w:rFonts w:ascii="Stone Sans II ITC Com Bk" w:hAnsi="Stone Sans II ITC Com Bk"/>
        </w:rPr>
      </w:pPr>
    </w:p>
    <w:p w14:paraId="5224E074" w14:textId="54A19943" w:rsidR="004D0869" w:rsidRDefault="004D0869" w:rsidP="004D0869">
      <w:pPr>
        <w:jc w:val="right"/>
        <w:rPr>
          <w:rFonts w:ascii="Stone Sans II ITC Com Bk" w:hAnsi="Stone Sans II ITC Com Bk"/>
        </w:rPr>
      </w:pPr>
      <w:r>
        <w:rPr>
          <w:rFonts w:ascii="Stone Sans II ITC Com Bk" w:hAnsi="Stone Sans II ITC Com Bk"/>
        </w:rPr>
        <w:t xml:space="preserve">Büdelsdorf, </w:t>
      </w:r>
      <w:r w:rsidR="00D54F1A">
        <w:rPr>
          <w:rFonts w:ascii="Stone Sans II ITC Com Bk" w:hAnsi="Stone Sans II ITC Com Bk"/>
        </w:rPr>
        <w:t>03.05</w:t>
      </w:r>
      <w:r>
        <w:rPr>
          <w:rFonts w:ascii="Stone Sans II ITC Com Bk" w:hAnsi="Stone Sans II ITC Com Bk"/>
        </w:rPr>
        <w:t>.2024</w:t>
      </w:r>
    </w:p>
    <w:p w14:paraId="05CDD115" w14:textId="77777777" w:rsidR="004D0869" w:rsidRDefault="004D0869" w:rsidP="004D0869">
      <w:pPr>
        <w:rPr>
          <w:rFonts w:ascii="Stone Sans II ITC Com Bk" w:hAnsi="Stone Sans II ITC Com Bk"/>
        </w:rPr>
      </w:pPr>
    </w:p>
    <w:p w14:paraId="3D7C86A4" w14:textId="77777777" w:rsidR="00195F6D" w:rsidRPr="00DB6EF1" w:rsidRDefault="00195F6D" w:rsidP="00195F6D">
      <w:pPr>
        <w:rPr>
          <w:rFonts w:ascii="Stone Sans II ITC Com Bk" w:hAnsi="Stone Sans II ITC Com Bk"/>
          <w:b/>
          <w:bCs/>
        </w:rPr>
      </w:pPr>
      <w:r w:rsidRPr="00DB6EF1">
        <w:rPr>
          <w:rFonts w:ascii="Stone Sans II ITC Com Bk" w:hAnsi="Stone Sans II ITC Com Bk"/>
          <w:b/>
          <w:bCs/>
        </w:rPr>
        <w:t>Wirtschaftlich und nachhaltig – die neue Generation der Aufsätze für Straßenabläufe</w:t>
      </w:r>
    </w:p>
    <w:p w14:paraId="6D461E56" w14:textId="77777777" w:rsidR="00195F6D" w:rsidRPr="00DB6EF1" w:rsidRDefault="00195F6D" w:rsidP="00195F6D">
      <w:pPr>
        <w:rPr>
          <w:rFonts w:ascii="Stone Sans II ITC Com Bk" w:hAnsi="Stone Sans II ITC Com Bk"/>
          <w:i/>
          <w:iCs/>
        </w:rPr>
      </w:pPr>
      <w:r w:rsidRPr="00DB6EF1">
        <w:rPr>
          <w:rFonts w:ascii="Stone Sans II ITC Com Bk" w:hAnsi="Stone Sans II ITC Com Bk"/>
          <w:i/>
          <w:iCs/>
        </w:rPr>
        <w:t>Wie sich durch Änderungen der Baugewohnheiten der Straßenbau wirtschaftlich und nachhaltig verändern kann.</w:t>
      </w:r>
    </w:p>
    <w:p w14:paraId="3606C480" w14:textId="77777777" w:rsidR="00195F6D" w:rsidRPr="00195F6D" w:rsidRDefault="00195F6D" w:rsidP="00195F6D">
      <w:pPr>
        <w:rPr>
          <w:rFonts w:ascii="Stone Sans II ITC Com Bk" w:hAnsi="Stone Sans II ITC Com Bk"/>
        </w:rPr>
      </w:pPr>
    </w:p>
    <w:p w14:paraId="3CAD34B2" w14:textId="77777777" w:rsidR="00195F6D" w:rsidRPr="00195F6D" w:rsidRDefault="00195F6D" w:rsidP="00195F6D">
      <w:pPr>
        <w:rPr>
          <w:rFonts w:ascii="Stone Sans II ITC Com Bk" w:hAnsi="Stone Sans II ITC Com Bk"/>
        </w:rPr>
      </w:pPr>
      <w:r w:rsidRPr="00195F6D">
        <w:rPr>
          <w:rFonts w:ascii="Stone Sans II ITC Com Bk" w:hAnsi="Stone Sans II ITC Com Bk"/>
        </w:rPr>
        <w:t xml:space="preserve">Eine leistungs- und funktionsfähige Oberflächenentwässerung ist eine Grundvoraussetzung für die Betriebs- und Verkehrssicherheit von Straßen. Der extremen Steigerung der Verkehrsbelastung in den letzten Jahren wurde beim Bau von Kanalisationsanlagen Rechnung getragen. So ist beispielsweise die Wanddicke von Schachtbauteilen nach DIN 4034 von 90 mm auf 120 mm verdickt worden. Darüber hinaus entlasten einwalzbare Schachtabdeckungen die Schächte und sind inzwischen gängige Praxis. Die Entwässerung von Straßen jedoch, erfolgt seit mehr als einem halben Jahrhundert nahezu unverändert über in seitlich der Straße liegende Bordrinnen mit Straßenabläufen. Das Bauen gepflasterter Bordrinnen mit integrierten Straßenabläufen mit Ablaufkörpern nach DIN 4052 ist mit einem großen zeitlichen und finanziellen Aufwand verbunden. Die Aufsätze der Straßenabläufe übertragen die Verkehrslasten direkt auf den Ablaufkörper. Auf die steigende Verkehrsbelastung reagiert man vereinzelt mit Aufsätzen für Einbaubereiche Klasse D 400 an Stelle von Aufsätzen Klasse C 250. Aber was nützt die Verstärkung des Aufsatzes, wenn der Unterbau nicht entsprechend verstärkt wird. Betonteile nach DIN 4052 haben seit Jahrzehnten unverändert eine unbewehrte Wanddicke von 50 mm. </w:t>
      </w:r>
    </w:p>
    <w:p w14:paraId="5BCB7478" w14:textId="77777777" w:rsidR="00195F6D" w:rsidRPr="00195F6D" w:rsidRDefault="00195F6D" w:rsidP="00195F6D">
      <w:pPr>
        <w:rPr>
          <w:rFonts w:ascii="Stone Sans II ITC Com Bk" w:hAnsi="Stone Sans II ITC Com Bk"/>
        </w:rPr>
      </w:pPr>
      <w:r w:rsidRPr="00195F6D">
        <w:rPr>
          <w:rFonts w:ascii="Stone Sans II ITC Com Bk" w:hAnsi="Stone Sans II ITC Com Bk"/>
        </w:rPr>
        <w:t>Im Gegensatz zu Abwasserkanälen erfolgen an Straßenabläufen meist keine regelmäßigen Inspektionen. Dadurch werden Schäden häufig erst dann festgestellt, wenn sie durch beispielsweise Setzungen im Umfeld des Ablaufes oder gebrochene Rahmen optisch erkennbar sind. Oft sind die Schäden dann schon weit fortgeschritten und die Sanierung ist aufwändig und teuer. Kritisch betrachtet ist die heutige Bauweise mit einer gepflasterten Bordrinne zeit- und kostenintensiv. Ein Schwachpunkt sind Straßenabläufe, bei denen der Lastabtrag vom Aufsatz direkt in den Ablaufkörper erfolgt.</w:t>
      </w:r>
    </w:p>
    <w:p w14:paraId="273FF756" w14:textId="77777777" w:rsidR="00195F6D" w:rsidRPr="00195F6D" w:rsidRDefault="00195F6D" w:rsidP="00195F6D">
      <w:pPr>
        <w:rPr>
          <w:rFonts w:ascii="Stone Sans II ITC Com Bk" w:hAnsi="Stone Sans II ITC Com Bk"/>
        </w:rPr>
      </w:pPr>
    </w:p>
    <w:p w14:paraId="5C006C9E" w14:textId="77777777" w:rsidR="00195F6D" w:rsidRPr="00195F6D" w:rsidRDefault="00195F6D" w:rsidP="00195F6D">
      <w:pPr>
        <w:rPr>
          <w:rFonts w:ascii="Stone Sans II ITC Com Bk" w:hAnsi="Stone Sans II ITC Com Bk"/>
        </w:rPr>
      </w:pPr>
      <w:r w:rsidRPr="00195F6D">
        <w:rPr>
          <w:rFonts w:ascii="Stone Sans II ITC Com Bk" w:hAnsi="Stone Sans II ITC Com Bk"/>
        </w:rPr>
        <w:t xml:space="preserve">Einwalzbare Aufsätze System </w:t>
      </w:r>
      <w:proofErr w:type="spellStart"/>
      <w:r w:rsidRPr="00195F6D">
        <w:rPr>
          <w:rFonts w:ascii="Stone Sans II ITC Com Bk" w:hAnsi="Stone Sans II ITC Com Bk"/>
        </w:rPr>
        <w:t>Bituplan</w:t>
      </w:r>
      <w:proofErr w:type="spellEnd"/>
    </w:p>
    <w:p w14:paraId="1753C317" w14:textId="77777777" w:rsidR="00195F6D" w:rsidRPr="00195F6D" w:rsidRDefault="00195F6D" w:rsidP="00195F6D">
      <w:pPr>
        <w:rPr>
          <w:rFonts w:ascii="Stone Sans II ITC Com Bk" w:hAnsi="Stone Sans II ITC Com Bk"/>
        </w:rPr>
      </w:pPr>
      <w:r w:rsidRPr="00195F6D">
        <w:rPr>
          <w:rFonts w:ascii="Stone Sans II ITC Com Bk" w:hAnsi="Stone Sans II ITC Com Bk"/>
        </w:rPr>
        <w:lastRenderedPageBreak/>
        <w:t xml:space="preserve">Aufsätze </w:t>
      </w:r>
      <w:proofErr w:type="spellStart"/>
      <w:r w:rsidRPr="00195F6D">
        <w:rPr>
          <w:rFonts w:ascii="Stone Sans II ITC Com Bk" w:hAnsi="Stone Sans II ITC Com Bk"/>
        </w:rPr>
        <w:t>Multitop</w:t>
      </w:r>
      <w:proofErr w:type="spellEnd"/>
      <w:r w:rsidRPr="00195F6D">
        <w:rPr>
          <w:rFonts w:ascii="Stone Sans II ITC Com Bk" w:hAnsi="Stone Sans II ITC Com Bk"/>
        </w:rPr>
        <w:t xml:space="preserve"> </w:t>
      </w:r>
      <w:proofErr w:type="spellStart"/>
      <w:r w:rsidRPr="00195F6D">
        <w:rPr>
          <w:rFonts w:ascii="Stone Sans II ITC Com Bk" w:hAnsi="Stone Sans II ITC Com Bk"/>
        </w:rPr>
        <w:t>Bituplan</w:t>
      </w:r>
      <w:proofErr w:type="spellEnd"/>
      <w:r w:rsidRPr="00195F6D">
        <w:rPr>
          <w:rFonts w:ascii="Stone Sans II ITC Com Bk" w:hAnsi="Stone Sans II ITC Com Bk"/>
        </w:rPr>
        <w:t xml:space="preserve"> ermöglichen neue wirtschaftliche und nachhaltige Lösungen. Sie passen zu marktüblichen Betonteilen nach DIN 4052 und ACO </w:t>
      </w:r>
      <w:proofErr w:type="spellStart"/>
      <w:r w:rsidRPr="00195F6D">
        <w:rPr>
          <w:rFonts w:ascii="Stone Sans II ITC Com Bk" w:hAnsi="Stone Sans II ITC Com Bk"/>
        </w:rPr>
        <w:t>Combipoint</w:t>
      </w:r>
      <w:proofErr w:type="spellEnd"/>
      <w:r w:rsidRPr="00195F6D">
        <w:rPr>
          <w:rFonts w:ascii="Stone Sans II ITC Com Bk" w:hAnsi="Stone Sans II ITC Com Bk"/>
        </w:rPr>
        <w:t xml:space="preserve"> Ablaufunterteilen. Analog zu Schachtabdeckungen </w:t>
      </w:r>
      <w:proofErr w:type="spellStart"/>
      <w:r w:rsidRPr="00195F6D">
        <w:rPr>
          <w:rFonts w:ascii="Stone Sans II ITC Com Bk" w:hAnsi="Stone Sans II ITC Com Bk"/>
        </w:rPr>
        <w:t>Multitop</w:t>
      </w:r>
      <w:proofErr w:type="spellEnd"/>
      <w:r w:rsidRPr="00195F6D">
        <w:rPr>
          <w:rFonts w:ascii="Stone Sans II ITC Com Bk" w:hAnsi="Stone Sans II ITC Com Bk"/>
        </w:rPr>
        <w:t xml:space="preserve"> System </w:t>
      </w:r>
      <w:proofErr w:type="spellStart"/>
      <w:r w:rsidRPr="00195F6D">
        <w:rPr>
          <w:rFonts w:ascii="Stone Sans II ITC Com Bk" w:hAnsi="Stone Sans II ITC Com Bk"/>
        </w:rPr>
        <w:t>Bituplan</w:t>
      </w:r>
      <w:proofErr w:type="spellEnd"/>
      <w:r w:rsidRPr="00195F6D">
        <w:rPr>
          <w:rFonts w:ascii="Stone Sans II ITC Com Bk" w:hAnsi="Stone Sans II ITC Com Bk"/>
        </w:rPr>
        <w:t xml:space="preserve"> sind sie in den Straßenbelag einwalzbar und können sinnvoll in die einzelnen Bauphasen beim Straßenbau integriert werden. Das ermöglicht es wirtschaftlich die Schwarzdecke ohne gepflasterte Rinne bis zum Bordstein zu ziehen. Der Aufsatz des Straßenablaufs behindert den Einbau der Asphaltdecke mit dem Fertiger nicht. Er wird einfach mit eingewalzt und sitzt somit oberflächenbündig. Ein „Herauswachsen“ des Aufsatzes ist praktisch ausgeschlossen. Ein Weiterer Vorteil: Der Aufsatz „hängt“ im Belag und ist damit vom Ablaufkörper entkoppelt. Die Verkehrslasten werden nahezu vollständig in das Umfeld des Ablaufes abgeleitet. Im Prinzip sind die Betonteile des Ablaufkörpers nur noch verlorene Schalung. Damit spielt die Verkehrsbelastung für den Ablaufkörper eine untergeordnete Rolle. Natürlich besitzen die neuen </w:t>
      </w:r>
      <w:proofErr w:type="spellStart"/>
      <w:r w:rsidRPr="00195F6D">
        <w:rPr>
          <w:rFonts w:ascii="Stone Sans II ITC Com Bk" w:hAnsi="Stone Sans II ITC Com Bk"/>
        </w:rPr>
        <w:t>Bituplan</w:t>
      </w:r>
      <w:proofErr w:type="spellEnd"/>
      <w:r w:rsidRPr="00195F6D">
        <w:rPr>
          <w:rFonts w:ascii="Stone Sans II ITC Com Bk" w:hAnsi="Stone Sans II ITC Com Bk"/>
        </w:rPr>
        <w:t xml:space="preserve"> Aufsätze alle bewährten positiven Merkmale der bekannten </w:t>
      </w:r>
      <w:proofErr w:type="spellStart"/>
      <w:r w:rsidRPr="00195F6D">
        <w:rPr>
          <w:rFonts w:ascii="Stone Sans II ITC Com Bk" w:hAnsi="Stone Sans II ITC Com Bk"/>
        </w:rPr>
        <w:t>Multitop</w:t>
      </w:r>
      <w:proofErr w:type="spellEnd"/>
      <w:r w:rsidRPr="00195F6D">
        <w:rPr>
          <w:rFonts w:ascii="Stone Sans II ITC Com Bk" w:hAnsi="Stone Sans II ITC Com Bk"/>
        </w:rPr>
        <w:t xml:space="preserve"> Aufsätze: Leichte Roste, verkehrssicher durch wartungsfreie schraublose Arretierungen. Zudem sind sie klapperfrei durch dämpfende PEWEPREN-Einlagen und haben eine große Auswahl von Rosten für jeden Anwendungsfall.</w:t>
      </w:r>
    </w:p>
    <w:p w14:paraId="03700D18" w14:textId="77777777" w:rsidR="00195F6D" w:rsidRPr="00195F6D" w:rsidRDefault="00195F6D" w:rsidP="00195F6D">
      <w:pPr>
        <w:rPr>
          <w:rFonts w:ascii="Stone Sans II ITC Com Bk" w:hAnsi="Stone Sans II ITC Com Bk"/>
        </w:rPr>
      </w:pPr>
    </w:p>
    <w:p w14:paraId="7CB30CFC" w14:textId="281C15B2" w:rsidR="00195F6D" w:rsidRPr="00195F6D" w:rsidRDefault="00195F6D" w:rsidP="00195F6D">
      <w:pPr>
        <w:rPr>
          <w:rFonts w:ascii="Stone Sans II ITC Com Bk" w:hAnsi="Stone Sans II ITC Com Bk"/>
        </w:rPr>
      </w:pPr>
      <w:r w:rsidRPr="00195F6D">
        <w:rPr>
          <w:rFonts w:ascii="Stone Sans II ITC Com Bk" w:hAnsi="Stone Sans II ITC Com Bk"/>
        </w:rPr>
        <w:t xml:space="preserve">Weitere Informationen unter www.aco.de/multitop-aufsaetze. </w:t>
      </w:r>
    </w:p>
    <w:p w14:paraId="7C061362" w14:textId="77777777" w:rsidR="00195F6D" w:rsidRPr="00195F6D" w:rsidRDefault="00195F6D" w:rsidP="00195F6D">
      <w:pPr>
        <w:rPr>
          <w:rFonts w:ascii="Stone Sans II ITC Com Bk" w:hAnsi="Stone Sans II ITC Com Bk"/>
        </w:rPr>
      </w:pPr>
    </w:p>
    <w:p w14:paraId="39C0F90F" w14:textId="778BA825" w:rsidR="004D0869" w:rsidRDefault="00195F6D" w:rsidP="00195F6D">
      <w:pPr>
        <w:rPr>
          <w:rFonts w:ascii="Stone Sans II ITC Com Bk" w:hAnsi="Stone Sans II ITC Com Bk"/>
        </w:rPr>
      </w:pPr>
      <w:r w:rsidRPr="00195F6D">
        <w:rPr>
          <w:rFonts w:ascii="Stone Sans II ITC Com Bk" w:hAnsi="Stone Sans II ITC Com Bk"/>
        </w:rPr>
        <w:t>(ca. 3.</w:t>
      </w:r>
      <w:r w:rsidR="00EB0411">
        <w:rPr>
          <w:rFonts w:ascii="Stone Sans II ITC Com Bk" w:hAnsi="Stone Sans II ITC Com Bk"/>
        </w:rPr>
        <w:t xml:space="preserve">389 </w:t>
      </w:r>
      <w:r w:rsidRPr="00195F6D">
        <w:rPr>
          <w:rFonts w:ascii="Stone Sans II ITC Com Bk" w:hAnsi="Stone Sans II ITC Com Bk"/>
        </w:rPr>
        <w:t>Zeichen)</w:t>
      </w:r>
    </w:p>
    <w:p w14:paraId="4CDD49EC" w14:textId="77777777" w:rsidR="004D0869" w:rsidRDefault="004D0869" w:rsidP="004D0869">
      <w:pPr>
        <w:rPr>
          <w:rFonts w:ascii="Stone Sans II ITC Com Bk" w:hAnsi="Stone Sans II ITC Com Bk"/>
        </w:rPr>
      </w:pPr>
    </w:p>
    <w:tbl>
      <w:tblPr>
        <w:tblStyle w:val="Tabellenraster"/>
        <w:tblW w:w="0" w:type="auto"/>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none" w:sz="0" w:space="0" w:color="auto"/>
          <w:insideV w:val="none" w:sz="0" w:space="0" w:color="auto"/>
        </w:tblBorders>
        <w:tblLook w:val="04A0" w:firstRow="1" w:lastRow="0" w:firstColumn="1" w:lastColumn="0" w:noHBand="0" w:noVBand="1"/>
      </w:tblPr>
      <w:tblGrid>
        <w:gridCol w:w="9062"/>
      </w:tblGrid>
      <w:tr w:rsidR="004D0869" w14:paraId="47BB0447" w14:textId="77777777" w:rsidTr="004D0869">
        <w:tc>
          <w:tcPr>
            <w:tcW w:w="9062" w:type="dxa"/>
          </w:tcPr>
          <w:p w14:paraId="2C6E975F" w14:textId="40FF6CEF" w:rsidR="004D0869" w:rsidRDefault="004D0869" w:rsidP="004D0869">
            <w:pPr>
              <w:rPr>
                <w:rFonts w:ascii="Stone Sans II ITC Com Lt" w:hAnsi="Stone Sans II ITC Com Lt"/>
                <w:iCs/>
                <w:sz w:val="20"/>
                <w:szCs w:val="20"/>
              </w:rPr>
            </w:pPr>
            <w:r w:rsidRPr="00BD54FA">
              <w:rPr>
                <w:rFonts w:ascii="Stone Sans II ITC Com Lt" w:hAnsi="Stone Sans II ITC Com Lt"/>
                <w:b/>
                <w:bCs/>
                <w:iCs/>
                <w:sz w:val="20"/>
                <w:szCs w:val="20"/>
              </w:rPr>
              <w:t>Die ACO GmbH</w:t>
            </w:r>
            <w:r>
              <w:rPr>
                <w:rFonts w:ascii="Stone Sans II ITC Com Lt" w:hAnsi="Stone Sans II ITC Com Lt"/>
                <w:iCs/>
                <w:sz w:val="20"/>
                <w:szCs w:val="20"/>
              </w:rPr>
              <w:br/>
            </w:r>
            <w:r w:rsidRPr="00472784">
              <w:rPr>
                <w:rFonts w:ascii="Stone Sans II ITC Com Lt" w:hAnsi="Stone Sans II ITC Com Lt"/>
                <w:iCs/>
                <w:sz w:val="20"/>
                <w:szCs w:val="20"/>
              </w:rPr>
              <w:t xml:space="preserve">Als Teil der weltweiten ACO Gruppe gehört die ACO GmbH zu den führenden Anbietern ganzheitlicher Systemlösungen rund um die klimaresiliente Freiraum-, Infrastruktur- und Gebäudeplanung. Der nachhaltige Umgang mit der wertvollen Ressource Wasser, verdeutlicht durch den Claim „ACO. </w:t>
            </w:r>
            <w:proofErr w:type="spellStart"/>
            <w:r w:rsidRPr="00472784">
              <w:rPr>
                <w:rFonts w:ascii="Stone Sans II ITC Com Lt" w:hAnsi="Stone Sans II ITC Com Lt"/>
                <w:iCs/>
                <w:sz w:val="20"/>
                <w:szCs w:val="20"/>
              </w:rPr>
              <w:t>we</w:t>
            </w:r>
            <w:proofErr w:type="spellEnd"/>
            <w:r w:rsidRPr="00472784">
              <w:rPr>
                <w:rFonts w:ascii="Stone Sans II ITC Com Lt" w:hAnsi="Stone Sans II ITC Com Lt"/>
                <w:iCs/>
                <w:sz w:val="20"/>
                <w:szCs w:val="20"/>
              </w:rPr>
              <w:t xml:space="preserve"> care </w:t>
            </w:r>
            <w:proofErr w:type="spellStart"/>
            <w:r w:rsidRPr="00472784">
              <w:rPr>
                <w:rFonts w:ascii="Stone Sans II ITC Com Lt" w:hAnsi="Stone Sans II ITC Com Lt"/>
                <w:iCs/>
                <w:sz w:val="20"/>
                <w:szCs w:val="20"/>
              </w:rPr>
              <w:t>for</w:t>
            </w:r>
            <w:proofErr w:type="spellEnd"/>
            <w:r w:rsidRPr="00472784">
              <w:rPr>
                <w:rFonts w:ascii="Stone Sans II ITC Com Lt" w:hAnsi="Stone Sans II ITC Com Lt"/>
                <w:iCs/>
                <w:sz w:val="20"/>
                <w:szCs w:val="20"/>
              </w:rPr>
              <w:t xml:space="preserve"> </w:t>
            </w:r>
            <w:proofErr w:type="spellStart"/>
            <w:r w:rsidRPr="00472784">
              <w:rPr>
                <w:rFonts w:ascii="Stone Sans II ITC Com Lt" w:hAnsi="Stone Sans II ITC Com Lt"/>
                <w:iCs/>
                <w:sz w:val="20"/>
                <w:szCs w:val="20"/>
              </w:rPr>
              <w:t>water</w:t>
            </w:r>
            <w:proofErr w:type="spellEnd"/>
            <w:r w:rsidRPr="00472784">
              <w:rPr>
                <w:rFonts w:ascii="Stone Sans II ITC Com Lt" w:hAnsi="Stone Sans II ITC Com Lt"/>
                <w:iCs/>
                <w:sz w:val="20"/>
                <w:szCs w:val="20"/>
              </w:rPr>
              <w:t xml:space="preserve">“, steht im Mittelpunkt aller Unternehmensaktivitäten. Mit dem ACO </w:t>
            </w:r>
            <w:proofErr w:type="spellStart"/>
            <w:r w:rsidRPr="00472784">
              <w:rPr>
                <w:rFonts w:ascii="Stone Sans II ITC Com Lt" w:hAnsi="Stone Sans II ITC Com Lt"/>
                <w:iCs/>
                <w:sz w:val="20"/>
                <w:szCs w:val="20"/>
              </w:rPr>
              <w:t>WaterCycle</w:t>
            </w:r>
            <w:proofErr w:type="spellEnd"/>
            <w:r w:rsidRPr="00472784">
              <w:rPr>
                <w:rFonts w:ascii="Stone Sans II ITC Com Lt" w:hAnsi="Stone Sans II ITC Com Lt"/>
                <w:iCs/>
                <w:sz w:val="20"/>
                <w:szCs w:val="20"/>
              </w:rPr>
              <w:t xml:space="preserve"> bietet das Unternehmen ein breites Spektrum an Systemlösungen, um Oberflächenwasser oder Abwasser zu sammeln, aufzubereiten, zurückzuhalten und wieder zur Verfügung zu stellen. Darüber hinaus berät und unterstützt ein starkes Außen- und Innendienstteam alle Objektbeteiligten in jeder Projektphase.</w:t>
            </w:r>
          </w:p>
          <w:p w14:paraId="65534CED" w14:textId="0E545634" w:rsidR="004D0869" w:rsidRPr="004D0869" w:rsidRDefault="004D0869" w:rsidP="004D0869">
            <w:pPr>
              <w:rPr>
                <w:rFonts w:ascii="Stone Sans II ITC Com Lt" w:hAnsi="Stone Sans II ITC Com Lt"/>
                <w:iCs/>
                <w:sz w:val="20"/>
                <w:szCs w:val="20"/>
              </w:rPr>
            </w:pPr>
          </w:p>
        </w:tc>
      </w:tr>
    </w:tbl>
    <w:p w14:paraId="53D300CE" w14:textId="77777777" w:rsidR="004D0869" w:rsidRDefault="004D0869" w:rsidP="004D0869">
      <w:pPr>
        <w:rPr>
          <w:rFonts w:ascii="Stone Sans II ITC Com Bk" w:hAnsi="Stone Sans II ITC Com Bk"/>
        </w:rPr>
      </w:pPr>
    </w:p>
    <w:p w14:paraId="447BD664" w14:textId="79653D19" w:rsidR="00F17CF7" w:rsidRDefault="00F17CF7" w:rsidP="004D0869">
      <w:pPr>
        <w:rPr>
          <w:rFonts w:ascii="Stone Sans II ITC Com Bk" w:hAnsi="Stone Sans II ITC Com Bk"/>
        </w:rPr>
      </w:pPr>
      <w:r>
        <w:rPr>
          <w:rFonts w:ascii="Stone Sans II ITC Com Bk" w:hAnsi="Stone Sans II ITC Com Bk"/>
        </w:rPr>
        <w:t>Bildmaterial (Quelle: ACO)</w:t>
      </w:r>
    </w:p>
    <w:p w14:paraId="7B89273B" w14:textId="4C599F34" w:rsidR="00F17CF7" w:rsidRDefault="008E13D1" w:rsidP="004D0869">
      <w:pPr>
        <w:rPr>
          <w:rFonts w:ascii="Stone Sans II ITC Com Bk" w:hAnsi="Stone Sans II ITC Com Bk"/>
        </w:rPr>
      </w:pPr>
      <w:r w:rsidRPr="008E13D1">
        <w:rPr>
          <w:rFonts w:ascii="Stone Sans II ITC Com Bk" w:hAnsi="Stone Sans II ITC Com Bk"/>
          <w:noProof/>
        </w:rPr>
        <w:lastRenderedPageBreak/>
        <w:drawing>
          <wp:inline distT="0" distB="0" distL="0" distR="0" wp14:anchorId="3ACDDCD4" wp14:editId="2F44B66F">
            <wp:extent cx="5760720" cy="3261360"/>
            <wp:effectExtent l="0" t="0" r="0" b="0"/>
            <wp:docPr id="12285139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61360"/>
                    </a:xfrm>
                    <a:prstGeom prst="rect">
                      <a:avLst/>
                    </a:prstGeom>
                    <a:noFill/>
                    <a:ln>
                      <a:noFill/>
                    </a:ln>
                  </pic:spPr>
                </pic:pic>
              </a:graphicData>
            </a:graphic>
          </wp:inline>
        </w:drawing>
      </w:r>
    </w:p>
    <w:p w14:paraId="735D3323" w14:textId="4A741066" w:rsidR="008E13D1" w:rsidRPr="00EB0411" w:rsidRDefault="00EB0411" w:rsidP="004D0869">
      <w:pPr>
        <w:rPr>
          <w:rFonts w:ascii="Stone Sans II ITC Com Bk" w:hAnsi="Stone Sans II ITC Com Bk"/>
        </w:rPr>
      </w:pPr>
      <w:r>
        <w:rPr>
          <w:rFonts w:ascii="Stone Sans II ITC Com Bk" w:hAnsi="Stone Sans II ITC Com Bk"/>
        </w:rPr>
        <w:t xml:space="preserve">BU: </w:t>
      </w:r>
      <w:r w:rsidRPr="00EB0411">
        <w:rPr>
          <w:rFonts w:ascii="Stone Sans II ITC Com Bk" w:hAnsi="Stone Sans II ITC Com Bk"/>
        </w:rPr>
        <w:t xml:space="preserve">Aufsatz ACO </w:t>
      </w:r>
      <w:proofErr w:type="spellStart"/>
      <w:r w:rsidRPr="00EB0411">
        <w:rPr>
          <w:rFonts w:ascii="Stone Sans II ITC Com Bk" w:hAnsi="Stone Sans II ITC Com Bk"/>
        </w:rPr>
        <w:t>Multitop</w:t>
      </w:r>
      <w:proofErr w:type="spellEnd"/>
      <w:r w:rsidRPr="00EB0411">
        <w:rPr>
          <w:rFonts w:ascii="Stone Sans II ITC Com Bk" w:hAnsi="Stone Sans II ITC Com Bk"/>
        </w:rPr>
        <w:t xml:space="preserve"> System </w:t>
      </w:r>
      <w:proofErr w:type="spellStart"/>
      <w:r w:rsidRPr="00EB0411">
        <w:rPr>
          <w:rFonts w:ascii="Stone Sans II ITC Com Bk" w:hAnsi="Stone Sans II ITC Com Bk"/>
        </w:rPr>
        <w:t>Bituplan</w:t>
      </w:r>
      <w:proofErr w:type="spellEnd"/>
      <w:r w:rsidRPr="00EB0411">
        <w:rPr>
          <w:rFonts w:ascii="Stone Sans II ITC Com Bk" w:hAnsi="Stone Sans II ITC Com Bk"/>
        </w:rPr>
        <w:t xml:space="preserve"> – einwalzbar und sitzt somit oberflächenbündig im Belag.</w:t>
      </w:r>
    </w:p>
    <w:p w14:paraId="0FB5E539" w14:textId="77777777" w:rsidR="00EB0411" w:rsidRDefault="00EB0411" w:rsidP="004D0869">
      <w:pPr>
        <w:rPr>
          <w:rFonts w:ascii="Stone Sans II ITC Com Bk" w:hAnsi="Stone Sans II ITC Com Bk"/>
        </w:rPr>
      </w:pPr>
    </w:p>
    <w:p w14:paraId="41F9E320" w14:textId="0A91A00E" w:rsidR="00EB0411" w:rsidRDefault="00EB0411" w:rsidP="004D0869">
      <w:pPr>
        <w:rPr>
          <w:rFonts w:ascii="Stone Sans II ITC Com Bk" w:hAnsi="Stone Sans II ITC Com Bk"/>
        </w:rPr>
      </w:pPr>
      <w:r w:rsidRPr="00EB0411">
        <w:rPr>
          <w:rFonts w:ascii="Stone Sans II ITC Com Bk" w:hAnsi="Stone Sans II ITC Com Bk"/>
        </w:rPr>
        <w:drawing>
          <wp:inline distT="0" distB="0" distL="0" distR="0" wp14:anchorId="2738E65E" wp14:editId="1371A9F4">
            <wp:extent cx="2162149" cy="1400175"/>
            <wp:effectExtent l="0" t="0" r="0" b="0"/>
            <wp:docPr id="26796250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7097" cy="1403380"/>
                    </a:xfrm>
                    <a:prstGeom prst="rect">
                      <a:avLst/>
                    </a:prstGeom>
                    <a:noFill/>
                    <a:ln>
                      <a:noFill/>
                    </a:ln>
                  </pic:spPr>
                </pic:pic>
              </a:graphicData>
            </a:graphic>
          </wp:inline>
        </w:drawing>
      </w:r>
    </w:p>
    <w:p w14:paraId="19696735" w14:textId="349DD857" w:rsidR="00EB0411" w:rsidRDefault="00EB0411" w:rsidP="004D0869">
      <w:pPr>
        <w:rPr>
          <w:rFonts w:ascii="Stone Sans II ITC Com Bk" w:hAnsi="Stone Sans II ITC Com Bk"/>
        </w:rPr>
      </w:pPr>
      <w:r>
        <w:rPr>
          <w:rFonts w:ascii="Stone Sans II ITC Com Bk" w:hAnsi="Stone Sans II ITC Com Bk"/>
        </w:rPr>
        <w:t xml:space="preserve">BU: </w:t>
      </w:r>
      <w:r w:rsidRPr="00EB0411">
        <w:rPr>
          <w:rFonts w:ascii="Stone Sans II ITC Com Bk" w:hAnsi="Stone Sans II ITC Com Bk"/>
        </w:rPr>
        <w:t xml:space="preserve">Aufsatz ACO </w:t>
      </w:r>
      <w:proofErr w:type="spellStart"/>
      <w:r w:rsidRPr="00EB0411">
        <w:rPr>
          <w:rFonts w:ascii="Stone Sans II ITC Com Bk" w:hAnsi="Stone Sans II ITC Com Bk"/>
        </w:rPr>
        <w:t>Multitop</w:t>
      </w:r>
      <w:proofErr w:type="spellEnd"/>
      <w:r w:rsidRPr="00EB0411">
        <w:rPr>
          <w:rFonts w:ascii="Stone Sans II ITC Com Bk" w:hAnsi="Stone Sans II ITC Com Bk"/>
        </w:rPr>
        <w:t xml:space="preserve"> System </w:t>
      </w:r>
      <w:proofErr w:type="spellStart"/>
      <w:r w:rsidRPr="00EB0411">
        <w:rPr>
          <w:rFonts w:ascii="Stone Sans II ITC Com Bk" w:hAnsi="Stone Sans II ITC Com Bk"/>
        </w:rPr>
        <w:t>Bituplan</w:t>
      </w:r>
      <w:proofErr w:type="spellEnd"/>
      <w:r w:rsidRPr="00EB0411">
        <w:rPr>
          <w:rFonts w:ascii="Stone Sans II ITC Com Bk" w:hAnsi="Stone Sans II ITC Com Bk"/>
        </w:rPr>
        <w:t xml:space="preserve"> 500 x 500 mit 2-seitigen Flansch</w:t>
      </w:r>
    </w:p>
    <w:p w14:paraId="0ACF09A6" w14:textId="77777777" w:rsidR="00F17CF7" w:rsidRDefault="00F17CF7" w:rsidP="004D0869">
      <w:pPr>
        <w:rPr>
          <w:rFonts w:ascii="Stone Sans II ITC Com Bk" w:hAnsi="Stone Sans II ITC Com Bk"/>
        </w:rPr>
      </w:pPr>
    </w:p>
    <w:p w14:paraId="03CED72B" w14:textId="77777777" w:rsidR="004D0869" w:rsidRDefault="004D0869" w:rsidP="004D0869">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Pressekontakt</w:t>
      </w:r>
      <w:r w:rsidRPr="000B433D">
        <w:rPr>
          <w:rFonts w:ascii="Stone Sans II ITC Com Lt" w:eastAsia="Times New Roman" w:hAnsi="Stone Sans II ITC Com Lt" w:cs="Arial"/>
          <w:sz w:val="20"/>
          <w:szCs w:val="24"/>
          <w:lang w:eastAsia="de-DE"/>
        </w:rPr>
        <w:t>:</w:t>
      </w:r>
    </w:p>
    <w:p w14:paraId="312144BE" w14:textId="77777777" w:rsidR="004D0869" w:rsidRPr="000B433D" w:rsidRDefault="004D0869" w:rsidP="004D0869">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ACO GmbH</w:t>
      </w:r>
    </w:p>
    <w:p w14:paraId="645708BC" w14:textId="77777777" w:rsidR="004D0869" w:rsidRPr="00CB1D67" w:rsidRDefault="004D0869" w:rsidP="004D0869">
      <w:pPr>
        <w:rPr>
          <w:rStyle w:val="Hyperlink"/>
          <w:rFonts w:ascii="Stone Sans II ITC Com Lt" w:hAnsi="Stone Sans II ITC Com Lt" w:cs="Arial"/>
          <w:color w:val="000000" w:themeColor="text1"/>
          <w:sz w:val="20"/>
          <w:lang w:val="en-US"/>
        </w:rPr>
      </w:pPr>
      <w:r w:rsidRPr="00D9042E">
        <w:rPr>
          <w:rFonts w:ascii="Stone Sans II ITC Com Lt" w:hAnsi="Stone Sans II ITC Com Lt" w:cs="Arial"/>
          <w:b/>
          <w:bCs/>
          <w:color w:val="000000" w:themeColor="text1"/>
          <w:sz w:val="20"/>
          <w:lang w:val="en-US"/>
        </w:rPr>
        <w:t xml:space="preserve">Tanja Holst </w:t>
      </w:r>
      <w:r w:rsidRPr="00D9042E">
        <w:rPr>
          <w:rFonts w:ascii="Stone Sans II ITC Com Lt" w:hAnsi="Stone Sans II ITC Com Lt" w:cs="Arial"/>
          <w:b/>
          <w:bCs/>
          <w:color w:val="000000" w:themeColor="text1"/>
          <w:sz w:val="20"/>
          <w:lang w:val="en-US"/>
        </w:rPr>
        <w:br/>
      </w:r>
      <w:r>
        <w:rPr>
          <w:rFonts w:ascii="Stone Sans II ITC Com Lt" w:hAnsi="Stone Sans II ITC Com Lt" w:cs="Arial"/>
          <w:color w:val="000000" w:themeColor="text1"/>
          <w:sz w:val="20"/>
          <w:lang w:val="en-US"/>
        </w:rPr>
        <w:t xml:space="preserve">Public Relations - </w:t>
      </w:r>
      <w:proofErr w:type="spellStart"/>
      <w:r>
        <w:rPr>
          <w:rFonts w:ascii="Stone Sans II ITC Com Lt" w:hAnsi="Stone Sans II ITC Com Lt" w:cs="Arial"/>
          <w:color w:val="000000" w:themeColor="text1"/>
          <w:sz w:val="20"/>
          <w:lang w:val="en-US"/>
        </w:rPr>
        <w:t>Fachpresse</w:t>
      </w:r>
      <w:proofErr w:type="spellEnd"/>
      <w:r>
        <w:rPr>
          <w:rFonts w:ascii="Stone Sans II ITC Com Lt" w:hAnsi="Stone Sans II ITC Com Lt" w:cs="Arial"/>
          <w:color w:val="000000"/>
          <w:sz w:val="20"/>
          <w:shd w:val="clear" w:color="auto" w:fill="FFFFFF"/>
          <w:lang w:val="en-US"/>
        </w:rPr>
        <w:br/>
      </w:r>
      <w:r w:rsidRPr="006E02FD">
        <w:rPr>
          <w:rFonts w:ascii="Stone Sans II ITC Com Lt" w:hAnsi="Stone Sans II ITC Com Lt" w:cs="Arial"/>
          <w:color w:val="000000"/>
          <w:sz w:val="20"/>
          <w:shd w:val="clear" w:color="auto" w:fill="FFFFFF"/>
          <w:lang w:val="en-US"/>
        </w:rPr>
        <w:t>T</w:t>
      </w:r>
      <w:r w:rsidRPr="006E02FD">
        <w:rPr>
          <w:rFonts w:ascii="Stone Sans II ITC Com Lt" w:hAnsi="Stone Sans II ITC Com Lt" w:cs="Arial"/>
          <w:color w:val="000000" w:themeColor="text1"/>
          <w:sz w:val="20"/>
          <w:shd w:val="clear" w:color="auto" w:fill="FFFFFF"/>
          <w:lang w:val="en-US"/>
        </w:rPr>
        <w:t>el.: </w:t>
      </w:r>
      <w:hyperlink r:id="rId9" w:history="1">
        <w:r w:rsidRPr="006E02FD">
          <w:rPr>
            <w:rStyle w:val="Hyperlink"/>
            <w:rFonts w:ascii="Stone Sans II ITC Com Lt" w:hAnsi="Stone Sans II ITC Com Lt" w:cs="Arial"/>
            <w:color w:val="000000" w:themeColor="text1"/>
            <w:sz w:val="20"/>
            <w:shd w:val="clear" w:color="auto" w:fill="FFFFFF"/>
            <w:lang w:val="en-US"/>
          </w:rPr>
          <w:t xml:space="preserve">+49 4331 354 </w:t>
        </w:r>
      </w:hyperlink>
      <w:r w:rsidRPr="006E02FD">
        <w:rPr>
          <w:rStyle w:val="Hyperlink"/>
          <w:rFonts w:ascii="Stone Sans II ITC Com Lt" w:hAnsi="Stone Sans II ITC Com Lt" w:cs="Arial"/>
          <w:color w:val="000000" w:themeColor="text1"/>
          <w:sz w:val="20"/>
          <w:shd w:val="clear" w:color="auto" w:fill="FFFFFF"/>
          <w:lang w:val="en-US"/>
        </w:rPr>
        <w:t>197</w:t>
      </w:r>
      <w:r w:rsidRPr="006E02FD">
        <w:rPr>
          <w:rStyle w:val="Hyperlink"/>
          <w:rFonts w:ascii="Stone Sans II ITC Com Lt" w:hAnsi="Stone Sans II ITC Com Lt" w:cs="Arial"/>
          <w:color w:val="000000" w:themeColor="text1"/>
          <w:sz w:val="20"/>
          <w:shd w:val="clear" w:color="auto" w:fill="FFFFFF"/>
          <w:lang w:val="en-US"/>
        </w:rPr>
        <w:br/>
        <w:t>Mobil: +49 151 64738331</w:t>
      </w:r>
      <w:r w:rsidRPr="006E02FD">
        <w:rPr>
          <w:rFonts w:ascii="Stone Sans II ITC Com Lt" w:hAnsi="Stone Sans II ITC Com Lt" w:cs="Arial"/>
          <w:color w:val="000000"/>
          <w:sz w:val="17"/>
          <w:szCs w:val="17"/>
          <w:lang w:val="en-US" w:eastAsia="de-DE"/>
        </w:rPr>
        <w:t xml:space="preserve"> </w:t>
      </w:r>
      <w:r w:rsidRPr="006E02FD">
        <w:rPr>
          <w:rFonts w:ascii="Stone Sans II ITC Com Lt" w:hAnsi="Stone Sans II ITC Com Lt" w:cs="Arial"/>
          <w:color w:val="000000"/>
          <w:sz w:val="17"/>
          <w:szCs w:val="17"/>
          <w:lang w:val="en-US" w:eastAsia="de-DE"/>
        </w:rPr>
        <w:br/>
      </w:r>
      <w:r w:rsidRPr="006E02FD">
        <w:rPr>
          <w:rFonts w:ascii="Stone Sans II ITC Com Lt" w:hAnsi="Stone Sans II ITC Com Lt" w:cs="Arial"/>
          <w:color w:val="000000" w:themeColor="text1"/>
          <w:sz w:val="20"/>
          <w:shd w:val="clear" w:color="auto" w:fill="FFFFFF"/>
          <w:lang w:val="en-US"/>
        </w:rPr>
        <w:t>E-Mail: </w:t>
      </w:r>
      <w:hyperlink r:id="rId10" w:history="1">
        <w:r w:rsidRPr="006E02FD">
          <w:rPr>
            <w:rStyle w:val="Hyperlink"/>
            <w:rFonts w:ascii="Stone Sans II ITC Com Lt" w:hAnsi="Stone Sans II ITC Com Lt" w:cs="Arial"/>
            <w:sz w:val="20"/>
            <w:shd w:val="clear" w:color="auto" w:fill="FFFFFF"/>
            <w:lang w:val="en-US"/>
          </w:rPr>
          <w:t>tanja.holst@aco.com</w:t>
        </w:r>
      </w:hyperlink>
    </w:p>
    <w:p w14:paraId="454F0710" w14:textId="77777777" w:rsidR="004D0869" w:rsidRPr="004D0869" w:rsidRDefault="004D0869" w:rsidP="004D0869">
      <w:pPr>
        <w:rPr>
          <w:rFonts w:ascii="Stone Sans II ITC Com Bk" w:hAnsi="Stone Sans II ITC Com Bk"/>
        </w:rPr>
      </w:pPr>
    </w:p>
    <w:sectPr w:rsidR="004D0869" w:rsidRPr="004D0869">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8F2F5" w14:textId="77777777" w:rsidR="004D0869" w:rsidRDefault="004D0869" w:rsidP="004D0869">
      <w:pPr>
        <w:spacing w:after="0" w:line="240" w:lineRule="auto"/>
      </w:pPr>
      <w:r>
        <w:separator/>
      </w:r>
    </w:p>
  </w:endnote>
  <w:endnote w:type="continuationSeparator" w:id="0">
    <w:p w14:paraId="3DA56429" w14:textId="77777777" w:rsidR="004D0869" w:rsidRDefault="004D0869" w:rsidP="004D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tone Sans II ITC Com Bk">
    <w:panose1 w:val="020B0502040503020204"/>
    <w:charset w:val="00"/>
    <w:family w:val="swiss"/>
    <w:pitch w:val="variable"/>
    <w:sig w:usb0="A00000AF" w:usb1="5000205B" w:usb2="00000000" w:usb3="00000000" w:csb0="0000009B" w:csb1="00000000"/>
  </w:font>
  <w:font w:name="NewsGothic,Bold">
    <w:panose1 w:val="00000000000000000000"/>
    <w:charset w:val="00"/>
    <w:family w:val="auto"/>
    <w:notTrueType/>
    <w:pitch w:val="default"/>
    <w:sig w:usb0="00000003" w:usb1="00000000" w:usb2="00000000" w:usb3="00000000" w:csb0="00000001" w:csb1="00000000"/>
  </w:font>
  <w:font w:name="Stone Sans II ITC Com Lt">
    <w:altName w:val="Stone Sans II ITC Com Lt"/>
    <w:panose1 w:val="020B0302040503020204"/>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Stone Sans II ITC Com Lt Cn">
    <w:panose1 w:val="020B0306040503020204"/>
    <w:charset w:val="00"/>
    <w:family w:val="swiss"/>
    <w:pitch w:val="variable"/>
    <w:sig w:usb0="A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93EE" w14:textId="5718188A" w:rsidR="004D0869" w:rsidRDefault="004D0869">
    <w:pPr>
      <w:pStyle w:val="Fuzeile"/>
    </w:pPr>
    <w:r>
      <w:rPr>
        <w:noProof/>
        <w:lang w:eastAsia="de-DE"/>
      </w:rPr>
      <w:drawing>
        <wp:anchor distT="0" distB="0" distL="114300" distR="114300" simplePos="0" relativeHeight="251667456" behindDoc="0" locked="0" layoutInCell="1" allowOverlap="1" wp14:anchorId="52723A34" wp14:editId="720E3FF4">
          <wp:simplePos x="0" y="0"/>
          <wp:positionH relativeFrom="column">
            <wp:posOffset>1510030</wp:posOffset>
          </wp:positionH>
          <wp:positionV relativeFrom="paragraph">
            <wp:posOffset>5715</wp:posOffset>
          </wp:positionV>
          <wp:extent cx="251460" cy="251460"/>
          <wp:effectExtent l="0" t="0" r="0" b="0"/>
          <wp:wrapNone/>
          <wp:docPr id="4" name="Grafik 4" descr="Ein Bild, das Symbol, Logo, Schrift, Grafiken enthält.&#10;&#10;Automatisch generierte Beschreib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Symbol, Logo, Schrift, Grafiken enthält.&#10;&#10;Automatisch generierte Beschreibung">
                    <a:hlinkClick r:id="rId1"/>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3360" behindDoc="1" locked="0" layoutInCell="1" allowOverlap="1" wp14:anchorId="5F1FDB19" wp14:editId="1F0010F9">
          <wp:simplePos x="0" y="0"/>
          <wp:positionH relativeFrom="column">
            <wp:posOffset>757555</wp:posOffset>
          </wp:positionH>
          <wp:positionV relativeFrom="paragraph">
            <wp:posOffset>5716</wp:posOffset>
          </wp:positionV>
          <wp:extent cx="228915" cy="251460"/>
          <wp:effectExtent l="0" t="0" r="0" b="0"/>
          <wp:wrapNone/>
          <wp:docPr id="6" name="Grafik 6" descr="Ein Bild, das Logo, Text, Symbol, rot enthält.&#10;&#10;Automatisch generierte Beschreibu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Logo, Text, Symbol, rot enthält.&#10;&#10;Automatisch generierte Beschreibung">
                    <a:hlinkClick r:id="rId3"/>
                  </pic:cNvPr>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2495" cy="255393"/>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5408" behindDoc="0" locked="0" layoutInCell="1" allowOverlap="1" wp14:anchorId="7609D443" wp14:editId="127081EF">
          <wp:simplePos x="0" y="0"/>
          <wp:positionH relativeFrom="column">
            <wp:posOffset>1148080</wp:posOffset>
          </wp:positionH>
          <wp:positionV relativeFrom="paragraph">
            <wp:posOffset>5715</wp:posOffset>
          </wp:positionV>
          <wp:extent cx="251460" cy="251460"/>
          <wp:effectExtent l="0" t="0" r="0" b="0"/>
          <wp:wrapNone/>
          <wp:docPr id="5" name="Grafik 5" descr="Ein Bild, das Symbol, rot, Grafiken, Kreis enthält.&#10;&#10;Automatisch generierte Beschreibu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ymbol, rot, Grafiken, Kreis enthält.&#10;&#10;Automatisch generierte Beschreibung">
                    <a:hlinkClick r:id="rId5"/>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rFonts w:ascii="Stone Sans II ITC Com Lt Cn" w:hAnsi="Stone Sans II ITC Com Lt Cn"/>
        <w:noProof/>
        <w:color w:val="BFBFBF"/>
        <w:sz w:val="18"/>
        <w:szCs w:val="18"/>
        <w:lang w:eastAsia="de-DE"/>
      </w:rPr>
      <w:drawing>
        <wp:anchor distT="0" distB="0" distL="114300" distR="114300" simplePos="0" relativeHeight="251659264" behindDoc="1" locked="0" layoutInCell="1" allowOverlap="1" wp14:anchorId="3F87D2A5" wp14:editId="7E0634EB">
          <wp:simplePos x="0" y="0"/>
          <wp:positionH relativeFrom="margin">
            <wp:posOffset>19050</wp:posOffset>
          </wp:positionH>
          <wp:positionV relativeFrom="paragraph">
            <wp:posOffset>9525</wp:posOffset>
          </wp:positionV>
          <wp:extent cx="252000" cy="252000"/>
          <wp:effectExtent l="0" t="0" r="0" b="0"/>
          <wp:wrapTight wrapText="bothSides">
            <wp:wrapPolygon edited="0">
              <wp:start x="0" y="0"/>
              <wp:lineTo x="0" y="19636"/>
              <wp:lineTo x="19636" y="19636"/>
              <wp:lineTo x="19636" y="0"/>
              <wp:lineTo x="0" y="0"/>
            </wp:wrapPolygon>
          </wp:wrapTight>
          <wp:docPr id="8" name="Grafik 8" descr="Ein Bild, das Symbol, Logo, rot, Schrift enthält.&#10;&#10;Automatisch generierte Beschreibu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Symbol, Logo, rot, Schrift enthält.&#10;&#10;Automatisch generierte Beschreibung">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1312" behindDoc="0" locked="0" layoutInCell="1" allowOverlap="1" wp14:anchorId="45DAED9D" wp14:editId="57755639">
          <wp:simplePos x="0" y="0"/>
          <wp:positionH relativeFrom="column">
            <wp:posOffset>381000</wp:posOffset>
          </wp:positionH>
          <wp:positionV relativeFrom="paragraph">
            <wp:posOffset>9525</wp:posOffset>
          </wp:positionV>
          <wp:extent cx="251460" cy="251460"/>
          <wp:effectExtent l="0" t="0" r="0" b="0"/>
          <wp:wrapThrough wrapText="bothSides">
            <wp:wrapPolygon edited="0">
              <wp:start x="0" y="0"/>
              <wp:lineTo x="0" y="19636"/>
              <wp:lineTo x="19636" y="19636"/>
              <wp:lineTo x="19636" y="0"/>
              <wp:lineTo x="0" y="0"/>
            </wp:wrapPolygon>
          </wp:wrapThrough>
          <wp:docPr id="7" name="Grafik 7" descr="Ein Bild, das Logo, Text, Symbol, Schrift enthält.&#10;&#10;Automatisch generierte Beschreibu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Logo, Text, Symbol, Schrift enthält.&#10;&#10;Automatisch generierte Beschreibung">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rFonts w:ascii="Stone Sans II ITC Com Lt Cn" w:hAnsi="Stone Sans II ITC Com Lt Cn"/>
        <w:noProof/>
        <w:color w:val="BFBFBF"/>
        <w:sz w:val="18"/>
        <w:szCs w:val="18"/>
        <w:lang w:eastAsia="de-D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893DC" w14:textId="77777777" w:rsidR="004D0869" w:rsidRDefault="004D0869" w:rsidP="004D0869">
      <w:pPr>
        <w:spacing w:after="0" w:line="240" w:lineRule="auto"/>
      </w:pPr>
      <w:r>
        <w:separator/>
      </w:r>
    </w:p>
  </w:footnote>
  <w:footnote w:type="continuationSeparator" w:id="0">
    <w:p w14:paraId="576C5BE3" w14:textId="77777777" w:rsidR="004D0869" w:rsidRDefault="004D0869" w:rsidP="004D08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869"/>
    <w:rsid w:val="000F232F"/>
    <w:rsid w:val="00195F6D"/>
    <w:rsid w:val="004D0869"/>
    <w:rsid w:val="006A7D65"/>
    <w:rsid w:val="008E13D1"/>
    <w:rsid w:val="00956EF8"/>
    <w:rsid w:val="00D54F1A"/>
    <w:rsid w:val="00DB6EF1"/>
    <w:rsid w:val="00EB0411"/>
    <w:rsid w:val="00F17C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78F9D"/>
  <w15:chartTrackingRefBased/>
  <w15:docId w15:val="{5B5BD678-1B6F-4CDC-B473-8BD9394ED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D0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D0869"/>
    <w:rPr>
      <w:color w:val="0563C1" w:themeColor="hyperlink"/>
      <w:u w:val="single"/>
    </w:rPr>
  </w:style>
  <w:style w:type="paragraph" w:styleId="Kopfzeile">
    <w:name w:val="header"/>
    <w:basedOn w:val="Standard"/>
    <w:link w:val="KopfzeileZchn"/>
    <w:uiPriority w:val="99"/>
    <w:unhideWhenUsed/>
    <w:rsid w:val="004D086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D0869"/>
  </w:style>
  <w:style w:type="paragraph" w:styleId="Fuzeile">
    <w:name w:val="footer"/>
    <w:basedOn w:val="Standard"/>
    <w:link w:val="FuzeileZchn"/>
    <w:uiPriority w:val="99"/>
    <w:unhideWhenUsed/>
    <w:rsid w:val="004D086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D08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mailto:tanja.holst@aco.com" TargetMode="External"/><Relationship Id="rId4" Type="http://schemas.openxmlformats.org/officeDocument/2006/relationships/footnotes" Target="footnotes.xml"/><Relationship Id="rId9" Type="http://schemas.openxmlformats.org/officeDocument/2006/relationships/hyperlink" Target="tel:+494331354174"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hyperlink" Target="https://www.youtube.com/user/ACO" TargetMode="External"/><Relationship Id="rId7" Type="http://schemas.openxmlformats.org/officeDocument/2006/relationships/hyperlink" Target="https://www.facebook.com/aco.gmbh/" TargetMode="External"/><Relationship Id="rId2" Type="http://schemas.openxmlformats.org/officeDocument/2006/relationships/image" Target="media/image4.jpeg"/><Relationship Id="rId1" Type="http://schemas.openxmlformats.org/officeDocument/2006/relationships/hyperlink" Target="https://www.pinterest.de/aco_group/" TargetMode="External"/><Relationship Id="rId6" Type="http://schemas.openxmlformats.org/officeDocument/2006/relationships/image" Target="media/image6.jpeg"/><Relationship Id="rId5" Type="http://schemas.openxmlformats.org/officeDocument/2006/relationships/hyperlink" Target="https://www.instagram.com/aco_gmbh/" TargetMode="External"/><Relationship Id="rId10" Type="http://schemas.openxmlformats.org/officeDocument/2006/relationships/image" Target="media/image8.jpeg"/><Relationship Id="rId4" Type="http://schemas.openxmlformats.org/officeDocument/2006/relationships/image" Target="media/image5.jpeg"/><Relationship Id="rId9" Type="http://schemas.openxmlformats.org/officeDocument/2006/relationships/hyperlink" Target="https://www.linkedin.com/company/9254055/"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635</Words>
  <Characters>4007</Characters>
  <Application>Microsoft Office Word</Application>
  <DocSecurity>0</DocSecurity>
  <Lines>33</Lines>
  <Paragraphs>9</Paragraphs>
  <ScaleCrop>false</ScaleCrop>
  <Company/>
  <LinksUpToDate>false</LinksUpToDate>
  <CharactersWithSpaces>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Holst, Tanja</dc:creator>
  <cp:keywords/>
  <dc:description/>
  <cp:lastModifiedBy>Holst, Tanja</cp:lastModifiedBy>
  <cp:revision>7</cp:revision>
  <dcterms:created xsi:type="dcterms:W3CDTF">2024-05-03T09:37:00Z</dcterms:created>
  <dcterms:modified xsi:type="dcterms:W3CDTF">2024-05-03T09:41:00Z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2c3a69-5bb1-4896-a591-f45b96dda59d_Enabled">
    <vt:lpwstr>true</vt:lpwstr>
  </property>
  <property fmtid="{D5CDD505-2E9C-101B-9397-08002B2CF9AE}" pid="3" name="MSIP_Label_a02c3a69-5bb1-4896-a591-f45b96dda59d_SetDate">
    <vt:lpwstr>2024-04-14T12:09:26Z</vt:lpwstr>
  </property>
  <property fmtid="{D5CDD505-2E9C-101B-9397-08002B2CF9AE}" pid="4" name="MSIP_Label_a02c3a69-5bb1-4896-a591-f45b96dda59d_Method">
    <vt:lpwstr>Standard</vt:lpwstr>
  </property>
  <property fmtid="{D5CDD505-2E9C-101B-9397-08002B2CF9AE}" pid="5" name="MSIP_Label_a02c3a69-5bb1-4896-a591-f45b96dda59d_Name">
    <vt:lpwstr>Public</vt:lpwstr>
  </property>
  <property fmtid="{D5CDD505-2E9C-101B-9397-08002B2CF9AE}" pid="6" name="MSIP_Label_a02c3a69-5bb1-4896-a591-f45b96dda59d_SiteId">
    <vt:lpwstr>b53f6739-82d2-42c3-8e8d-458bdd89805b</vt:lpwstr>
  </property>
  <property fmtid="{D5CDD505-2E9C-101B-9397-08002B2CF9AE}" pid="7" name="MSIP_Label_a02c3a69-5bb1-4896-a591-f45b96dda59d_ActionId">
    <vt:lpwstr>78a95a13-6b63-4f80-8403-383cfc2eea3e</vt:lpwstr>
  </property>
  <property fmtid="{D5CDD505-2E9C-101B-9397-08002B2CF9AE}" pid="8" name="MSIP_Label_a02c3a69-5bb1-4896-a591-f45b96dda59d_ContentBits">
    <vt:lpwstr>0</vt:lpwstr>
  </property>
</Properties>
</file>